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D45F" w14:textId="7D43C42B" w:rsidR="00726A5F" w:rsidRDefault="00D42CA4" w:rsidP="00206BA8">
      <w:pPr>
        <w:pStyle w:val="Titel"/>
      </w:pPr>
      <w:r>
        <w:t xml:space="preserve">Belgische twijfel </w:t>
      </w:r>
      <w:r w:rsidR="00EC3516">
        <w:t xml:space="preserve">over </w:t>
      </w:r>
      <w:r>
        <w:t>w</w:t>
      </w:r>
      <w:r w:rsidR="00726A5F">
        <w:t>erkgevers</w:t>
      </w:r>
      <w:r w:rsidR="000803D4">
        <w:t>auteurs</w:t>
      </w:r>
      <w:r w:rsidR="00726A5F">
        <w:t>recht</w:t>
      </w:r>
    </w:p>
    <w:p w14:paraId="0EB9BDB1" w14:textId="77777777" w:rsidR="00726A5F" w:rsidRDefault="00726A5F" w:rsidP="00726A5F"/>
    <w:p w14:paraId="49B1D16A" w14:textId="225C9925" w:rsidR="00A81076" w:rsidRDefault="00A81076" w:rsidP="00726A5F">
      <w:r>
        <w:t>Dirk Visser</w:t>
      </w:r>
      <w:r w:rsidR="00B65DB2">
        <w:t>, Paul Kreijger</w:t>
      </w:r>
      <w:r>
        <w:t xml:space="preserve"> en Iris </w:t>
      </w:r>
      <w:proofErr w:type="spellStart"/>
      <w:r>
        <w:t>Toepoel</w:t>
      </w:r>
      <w:proofErr w:type="spellEnd"/>
      <w:r>
        <w:rPr>
          <w:rStyle w:val="Voetnootmarkering"/>
        </w:rPr>
        <w:footnoteReference w:id="1"/>
      </w:r>
    </w:p>
    <w:p w14:paraId="7E7DFB1E" w14:textId="62E823E5" w:rsidR="00726A5F" w:rsidRPr="00867AA0" w:rsidRDefault="00726A5F" w:rsidP="00726A5F">
      <w:pPr>
        <w:rPr>
          <w:i/>
          <w:iCs/>
        </w:rPr>
      </w:pPr>
      <w:r w:rsidRPr="00867AA0">
        <w:rPr>
          <w:i/>
          <w:iCs/>
        </w:rPr>
        <w:t xml:space="preserve">Belgische vragen aan het HvJ EU over </w:t>
      </w:r>
      <w:proofErr w:type="spellStart"/>
      <w:r w:rsidR="003700A7">
        <w:rPr>
          <w:i/>
          <w:iCs/>
        </w:rPr>
        <w:t>cessio</w:t>
      </w:r>
      <w:proofErr w:type="spellEnd"/>
      <w:r w:rsidR="003700A7">
        <w:rPr>
          <w:i/>
          <w:iCs/>
        </w:rPr>
        <w:t xml:space="preserve"> legis</w:t>
      </w:r>
      <w:r w:rsidR="003700A7" w:rsidRPr="00867AA0">
        <w:rPr>
          <w:i/>
          <w:iCs/>
        </w:rPr>
        <w:t xml:space="preserve"> </w:t>
      </w:r>
      <w:r w:rsidRPr="00867AA0">
        <w:rPr>
          <w:i/>
          <w:iCs/>
        </w:rPr>
        <w:t>en het recht op een billijke vergoeding</w:t>
      </w:r>
    </w:p>
    <w:p w14:paraId="52E6F341" w14:textId="7EB60385" w:rsidR="00726A5F" w:rsidRDefault="00726A5F">
      <w:r>
        <w:t>Is een Belgische regeling waarbij de rechten van uitvoerende kunstenaars</w:t>
      </w:r>
      <w:r w:rsidR="009310D0">
        <w:t xml:space="preserve"> bij wet</w:t>
      </w:r>
      <w:r w:rsidR="00B96E20">
        <w:t>telijk voorschrift</w:t>
      </w:r>
      <w:r w:rsidR="009310D0">
        <w:t xml:space="preserve"> tegen een vaste </w:t>
      </w:r>
      <w:proofErr w:type="spellStart"/>
      <w:r w:rsidR="009310D0">
        <w:t>lump</w:t>
      </w:r>
      <w:proofErr w:type="spellEnd"/>
      <w:r w:rsidR="009310D0">
        <w:t xml:space="preserve"> </w:t>
      </w:r>
      <w:proofErr w:type="spellStart"/>
      <w:r w:rsidR="009310D0">
        <w:t>sum</w:t>
      </w:r>
      <w:proofErr w:type="spellEnd"/>
      <w:r w:rsidR="009310D0">
        <w:t xml:space="preserve"> worden overgedragen</w:t>
      </w:r>
      <w:r>
        <w:t xml:space="preserve"> aan </w:t>
      </w:r>
      <w:r w:rsidR="009310D0">
        <w:t>hun</w:t>
      </w:r>
      <w:r>
        <w:t xml:space="preserve"> werkgever in strijd met recht op een ‘</w:t>
      </w:r>
      <w:r w:rsidRPr="00726A5F">
        <w:t>passende en evenredige vergoeding</w:t>
      </w:r>
      <w:r>
        <w:t xml:space="preserve">’? </w:t>
      </w:r>
      <w:r w:rsidR="003700A7">
        <w:t xml:space="preserve">En geldt dat ook als die regeling vóór </w:t>
      </w:r>
      <w:r w:rsidR="00563625">
        <w:t xml:space="preserve">7 juni 2021 is ingevoerd en dus al voor die datum overdracht bewerkstelligd heeft? </w:t>
      </w:r>
      <w:r>
        <w:t>Dat is de kern van de eerste vrag</w:t>
      </w:r>
      <w:r w:rsidR="001110F4">
        <w:t>en van uitleg</w:t>
      </w:r>
      <w:r>
        <w:t xml:space="preserve"> aan het HvJ EU over het recht op een billijke vergoeding vastgelegd in de D</w:t>
      </w:r>
      <w:r w:rsidR="008251D4">
        <w:t>S</w:t>
      </w:r>
      <w:r>
        <w:t xml:space="preserve">M-richtlijn. </w:t>
      </w:r>
    </w:p>
    <w:p w14:paraId="730FC442" w14:textId="13018FFE" w:rsidR="00464B07" w:rsidRPr="0006204C" w:rsidRDefault="0006204C">
      <w:pPr>
        <w:rPr>
          <w:i/>
          <w:iCs/>
        </w:rPr>
      </w:pPr>
      <w:r w:rsidRPr="0006204C">
        <w:rPr>
          <w:i/>
          <w:iCs/>
        </w:rPr>
        <w:t>Wat is de achtergrond van deze vraag e</w:t>
      </w:r>
      <w:r w:rsidR="00464B07" w:rsidRPr="0006204C">
        <w:rPr>
          <w:i/>
          <w:iCs/>
        </w:rPr>
        <w:t xml:space="preserve">n wat betekent </w:t>
      </w:r>
      <w:r w:rsidR="00A81076">
        <w:rPr>
          <w:i/>
          <w:iCs/>
        </w:rPr>
        <w:t xml:space="preserve">dit mogelijk </w:t>
      </w:r>
      <w:r w:rsidR="00464B07" w:rsidRPr="0006204C">
        <w:rPr>
          <w:i/>
          <w:iCs/>
        </w:rPr>
        <w:t>voor Nederland?</w:t>
      </w:r>
    </w:p>
    <w:p w14:paraId="2A8E1BC1" w14:textId="736DD25B" w:rsidR="00A92C9E" w:rsidRDefault="00A92C9E">
      <w:r>
        <w:t xml:space="preserve">Op 31 augustus 2023 heeft de Belgische Raad van State </w:t>
      </w:r>
      <w:r w:rsidR="00B96E20">
        <w:t xml:space="preserve">prejudiciële </w:t>
      </w:r>
      <w:r>
        <w:t>vr</w:t>
      </w:r>
      <w:r w:rsidR="00726A5F">
        <w:t>a</w:t>
      </w:r>
      <w:r>
        <w:t>g</w:t>
      </w:r>
      <w:r w:rsidR="00726A5F">
        <w:t>en</w:t>
      </w:r>
      <w:r>
        <w:t xml:space="preserve"> gesteld </w:t>
      </w:r>
      <w:r w:rsidR="00206BA8">
        <w:t xml:space="preserve">aan </w:t>
      </w:r>
      <w:r w:rsidR="00726A5F">
        <w:t xml:space="preserve">HvJ EU en aan </w:t>
      </w:r>
      <w:r>
        <w:t xml:space="preserve">het </w:t>
      </w:r>
      <w:r w:rsidR="00726A5F">
        <w:t xml:space="preserve">Belgische </w:t>
      </w:r>
      <w:r w:rsidR="00EE3FF8">
        <w:t>Grondwettelijk hof.</w:t>
      </w:r>
      <w:r w:rsidR="00700E6D">
        <w:rPr>
          <w:rStyle w:val="Voetnootmarkering"/>
        </w:rPr>
        <w:footnoteReference w:id="2"/>
      </w:r>
      <w:r w:rsidR="00EE3FF8">
        <w:t xml:space="preserve"> </w:t>
      </w:r>
      <w:r w:rsidR="00726A5F">
        <w:t>Centraal</w:t>
      </w:r>
      <w:r w:rsidR="00EE3FF8">
        <w:t xml:space="preserve"> staat </w:t>
      </w:r>
      <w:r w:rsidR="008659C2">
        <w:t xml:space="preserve">het Belgische </w:t>
      </w:r>
      <w:r w:rsidR="00EE3FF8">
        <w:t xml:space="preserve">artikel XI. 205 paragraaf </w:t>
      </w:r>
      <w:r>
        <w:t xml:space="preserve">4 van het Wetboek van economisch recht, </w:t>
      </w:r>
      <w:r w:rsidR="00726A5F">
        <w:t>dat als volgt luidt</w:t>
      </w:r>
      <w:r>
        <w:t>:</w:t>
      </w:r>
    </w:p>
    <w:p w14:paraId="57C52284" w14:textId="6D07ACE6" w:rsidR="00A92C9E" w:rsidRDefault="00A92C9E" w:rsidP="00A92C9E">
      <w:pPr>
        <w:ind w:left="708"/>
        <w:rPr>
          <w:i/>
          <w:iCs/>
          <w:kern w:val="0"/>
          <w14:ligatures w14:val="none"/>
        </w:rPr>
      </w:pPr>
      <w:r>
        <w:rPr>
          <w:i/>
          <w:iCs/>
          <w:kern w:val="0"/>
          <w14:ligatures w14:val="none"/>
        </w:rPr>
        <w:t>“Wanneer een uitvoerende kunstenaar een prestatie levert ter uitvoering van een arbeidsovereenkomst of een statuut, kunnen de vermogensrechten worden overgedragen of in licentie gegeven aan de werkgever voor zover uitdrukkelijk in die overdracht of licentieverlening van rechten is voorzien en voor zover de prestatie binnen het toepassingsgebied van de overeenkomst of het statuut valt. (…)”</w:t>
      </w:r>
    </w:p>
    <w:p w14:paraId="232036E8" w14:textId="2736AB3E" w:rsidR="00C35126" w:rsidRDefault="00EE3FF8" w:rsidP="00A92C9E">
      <w:pPr>
        <w:rPr>
          <w:kern w:val="0"/>
          <w14:ligatures w14:val="none"/>
        </w:rPr>
      </w:pPr>
      <w:r>
        <w:rPr>
          <w:kern w:val="0"/>
          <w14:ligatures w14:val="none"/>
        </w:rPr>
        <w:t xml:space="preserve">Aan het Grondwettelijk Hof van België is de vraag gesteld of </w:t>
      </w:r>
      <w:r w:rsidR="001521F7">
        <w:rPr>
          <w:kern w:val="0"/>
          <w14:ligatures w14:val="none"/>
        </w:rPr>
        <w:t xml:space="preserve">een </w:t>
      </w:r>
      <w:r w:rsidR="00E3011D">
        <w:rPr>
          <w:kern w:val="0"/>
          <w14:ligatures w14:val="none"/>
        </w:rPr>
        <w:t xml:space="preserve">wettelijke regeling (het hierna te bespreken Koninklijk Besluit) waarin naburige rechten geacht worden te zijn overgedragen </w:t>
      </w:r>
      <w:r w:rsidR="00D96E70">
        <w:rPr>
          <w:kern w:val="0"/>
          <w14:ligatures w14:val="none"/>
        </w:rPr>
        <w:t>zonder dat van daadwerkelijke wilsovereenstemming sprake is</w:t>
      </w:r>
      <w:r w:rsidR="004D06DC">
        <w:rPr>
          <w:kern w:val="0"/>
          <w14:ligatures w14:val="none"/>
        </w:rPr>
        <w:t xml:space="preserve">, </w:t>
      </w:r>
      <w:r>
        <w:rPr>
          <w:kern w:val="0"/>
          <w14:ligatures w14:val="none"/>
        </w:rPr>
        <w:t>in strijd is met</w:t>
      </w:r>
      <w:r w:rsidR="00C87E54">
        <w:rPr>
          <w:kern w:val="0"/>
          <w14:ligatures w14:val="none"/>
        </w:rPr>
        <w:t xml:space="preserve"> genoemd artikel XI.205 en het</w:t>
      </w:r>
      <w:r>
        <w:rPr>
          <w:kern w:val="0"/>
          <w14:ligatures w14:val="none"/>
        </w:rPr>
        <w:t xml:space="preserve"> </w:t>
      </w:r>
      <w:r w:rsidR="00470C91">
        <w:rPr>
          <w:kern w:val="0"/>
          <w14:ligatures w14:val="none"/>
        </w:rPr>
        <w:t xml:space="preserve">grondrecht van eigendom van </w:t>
      </w:r>
      <w:r>
        <w:rPr>
          <w:kern w:val="0"/>
          <w14:ligatures w14:val="none"/>
        </w:rPr>
        <w:t>artikel 16 van de</w:t>
      </w:r>
      <w:r w:rsidR="00470C91">
        <w:rPr>
          <w:kern w:val="0"/>
          <w14:ligatures w14:val="none"/>
        </w:rPr>
        <w:t xml:space="preserve"> Belgische</w:t>
      </w:r>
      <w:r>
        <w:rPr>
          <w:kern w:val="0"/>
          <w14:ligatures w14:val="none"/>
        </w:rPr>
        <w:t xml:space="preserve"> Grondwet</w:t>
      </w:r>
      <w:r>
        <w:rPr>
          <w:rStyle w:val="Voetnootmarkering"/>
          <w:kern w:val="0"/>
          <w14:ligatures w14:val="none"/>
        </w:rPr>
        <w:footnoteReference w:id="3"/>
      </w:r>
      <w:r>
        <w:rPr>
          <w:kern w:val="0"/>
          <w14:ligatures w14:val="none"/>
        </w:rPr>
        <w:t xml:space="preserve"> jo. artikel 1 EVRM, aangezien het de overdracht van de naburige rechten van uitvoerende kunstenaars </w:t>
      </w:r>
      <w:r w:rsidR="00C35126">
        <w:rPr>
          <w:kern w:val="0"/>
          <w14:ligatures w14:val="none"/>
        </w:rPr>
        <w:t>regelt</w:t>
      </w:r>
      <w:r w:rsidR="006F5A97">
        <w:rPr>
          <w:kern w:val="0"/>
          <w14:ligatures w14:val="none"/>
        </w:rPr>
        <w:t xml:space="preserve"> zonder hun</w:t>
      </w:r>
      <w:r w:rsidR="002C732D">
        <w:rPr>
          <w:kern w:val="0"/>
          <w14:ligatures w14:val="none"/>
        </w:rPr>
        <w:t xml:space="preserve"> (individuele dan wel collectieve)</w:t>
      </w:r>
      <w:r w:rsidR="006F5A97">
        <w:rPr>
          <w:kern w:val="0"/>
          <w14:ligatures w14:val="none"/>
        </w:rPr>
        <w:t xml:space="preserve"> instemming.</w:t>
      </w:r>
      <w:r w:rsidR="00C35126">
        <w:rPr>
          <w:kern w:val="0"/>
          <w14:ligatures w14:val="none"/>
        </w:rPr>
        <w:t xml:space="preserve"> </w:t>
      </w:r>
      <w:r w:rsidR="00726A5F">
        <w:rPr>
          <w:kern w:val="0"/>
          <w14:ligatures w14:val="none"/>
        </w:rPr>
        <w:t xml:space="preserve">Deze </w:t>
      </w:r>
      <w:r w:rsidR="00464B07">
        <w:rPr>
          <w:kern w:val="0"/>
          <w14:ligatures w14:val="none"/>
        </w:rPr>
        <w:t>interessante</w:t>
      </w:r>
      <w:r w:rsidR="00726A5F">
        <w:rPr>
          <w:kern w:val="0"/>
          <w14:ligatures w14:val="none"/>
        </w:rPr>
        <w:t xml:space="preserve"> vraag laten we hi</w:t>
      </w:r>
      <w:r w:rsidR="00464B07">
        <w:rPr>
          <w:kern w:val="0"/>
          <w14:ligatures w14:val="none"/>
        </w:rPr>
        <w:t>e</w:t>
      </w:r>
      <w:r w:rsidR="00726A5F">
        <w:rPr>
          <w:kern w:val="0"/>
          <w14:ligatures w14:val="none"/>
        </w:rPr>
        <w:t>r terzijde</w:t>
      </w:r>
      <w:r w:rsidR="00D828E5">
        <w:rPr>
          <w:kern w:val="0"/>
          <w14:ligatures w14:val="none"/>
        </w:rPr>
        <w:t>, wel merken we nog op dat het eigendomsrecht ook in</w:t>
      </w:r>
      <w:r w:rsidR="00D96E70">
        <w:rPr>
          <w:kern w:val="0"/>
          <w14:ligatures w14:val="none"/>
        </w:rPr>
        <w:t xml:space="preserve"> artikel 17 van</w:t>
      </w:r>
      <w:r w:rsidR="00D828E5">
        <w:rPr>
          <w:kern w:val="0"/>
          <w14:ligatures w14:val="none"/>
        </w:rPr>
        <w:t xml:space="preserve"> het EU Handvest is geregeld</w:t>
      </w:r>
      <w:r w:rsidR="00D96E70">
        <w:rPr>
          <w:kern w:val="0"/>
          <w14:ligatures w14:val="none"/>
        </w:rPr>
        <w:t xml:space="preserve"> (de Belgische Raad van State noemt die bepaling ook)</w:t>
      </w:r>
      <w:r w:rsidR="00D828E5">
        <w:rPr>
          <w:kern w:val="0"/>
          <w14:ligatures w14:val="none"/>
        </w:rPr>
        <w:t xml:space="preserve"> en in zoverre ook een vraag </w:t>
      </w:r>
      <w:r w:rsidR="0097750C">
        <w:rPr>
          <w:kern w:val="0"/>
          <w14:ligatures w14:val="none"/>
        </w:rPr>
        <w:t xml:space="preserve">op dit punt </w:t>
      </w:r>
      <w:r w:rsidR="00D828E5">
        <w:rPr>
          <w:kern w:val="0"/>
          <w14:ligatures w14:val="none"/>
        </w:rPr>
        <w:t>aan het HvJ EU denkbaar was geweest</w:t>
      </w:r>
      <w:r w:rsidR="00726A5F">
        <w:rPr>
          <w:kern w:val="0"/>
          <w14:ligatures w14:val="none"/>
        </w:rPr>
        <w:t>.</w:t>
      </w:r>
    </w:p>
    <w:p w14:paraId="0F4AC6D2" w14:textId="77542803" w:rsidR="00294E0B" w:rsidRDefault="00726A5F" w:rsidP="00A92C9E">
      <w:pPr>
        <w:rPr>
          <w:kern w:val="0"/>
          <w14:ligatures w14:val="none"/>
        </w:rPr>
      </w:pPr>
      <w:r>
        <w:rPr>
          <w:kern w:val="0"/>
          <w14:ligatures w14:val="none"/>
        </w:rPr>
        <w:t>We richten de aandacht op</w:t>
      </w:r>
      <w:r w:rsidR="00294E0B">
        <w:rPr>
          <w:kern w:val="0"/>
          <w14:ligatures w14:val="none"/>
        </w:rPr>
        <w:t xml:space="preserve"> de vraag die </w:t>
      </w:r>
      <w:r w:rsidR="0097750C">
        <w:rPr>
          <w:kern w:val="0"/>
          <w14:ligatures w14:val="none"/>
        </w:rPr>
        <w:t xml:space="preserve">wél </w:t>
      </w:r>
      <w:r w:rsidR="00294E0B">
        <w:rPr>
          <w:kern w:val="0"/>
          <w14:ligatures w14:val="none"/>
        </w:rPr>
        <w:t xml:space="preserve">is gesteld aan het HvJ </w:t>
      </w:r>
      <w:r>
        <w:rPr>
          <w:kern w:val="0"/>
          <w14:ligatures w14:val="none"/>
        </w:rPr>
        <w:t>EU over</w:t>
      </w:r>
      <w:r w:rsidR="00A67A33">
        <w:rPr>
          <w:kern w:val="0"/>
          <w14:ligatures w14:val="none"/>
        </w:rPr>
        <w:t xml:space="preserve"> </w:t>
      </w:r>
      <w:r w:rsidR="00294E0B">
        <w:rPr>
          <w:kern w:val="0"/>
          <w14:ligatures w14:val="none"/>
        </w:rPr>
        <w:t xml:space="preserve">de artikelen 18 tot en met 23 </w:t>
      </w:r>
      <w:r w:rsidR="00B96A9F">
        <w:rPr>
          <w:kern w:val="0"/>
          <w14:ligatures w14:val="none"/>
        </w:rPr>
        <w:t>DSM-richtlijn</w:t>
      </w:r>
      <w:r w:rsidR="00294E0B">
        <w:rPr>
          <w:kern w:val="0"/>
          <w14:ligatures w14:val="none"/>
        </w:rPr>
        <w:t xml:space="preserve">: </w:t>
      </w:r>
    </w:p>
    <w:p w14:paraId="109F8567" w14:textId="268A921F" w:rsidR="00726A5F" w:rsidRPr="00032F51" w:rsidRDefault="00294E0B" w:rsidP="00294E0B">
      <w:pPr>
        <w:ind w:left="705"/>
        <w:rPr>
          <w:kern w:val="0"/>
          <w14:ligatures w14:val="none"/>
        </w:rPr>
      </w:pPr>
      <w:r>
        <w:rPr>
          <w:i/>
          <w:iCs/>
          <w:kern w:val="0"/>
          <w14:ligatures w14:val="none"/>
        </w:rPr>
        <w:t xml:space="preserve">“Moeten de artikelen 18 tot en met 23 van </w:t>
      </w:r>
      <w:r w:rsidR="00726A5F" w:rsidRPr="00A13365">
        <w:rPr>
          <w:kern w:val="0"/>
          <w14:ligatures w14:val="none"/>
        </w:rPr>
        <w:t>[de DSM-richtlijn]</w:t>
      </w:r>
      <w:r>
        <w:rPr>
          <w:i/>
          <w:iCs/>
          <w:kern w:val="0"/>
          <w14:ligatures w14:val="none"/>
        </w:rPr>
        <w:t xml:space="preserve">, aldus worden uitgelegd dat zij zich verzetten tegen de overdracht bij </w:t>
      </w:r>
      <w:r w:rsidR="00403CB9">
        <w:rPr>
          <w:i/>
          <w:iCs/>
          <w:kern w:val="0"/>
          <w14:ligatures w14:val="none"/>
        </w:rPr>
        <w:t xml:space="preserve">wet </w:t>
      </w:r>
      <w:r>
        <w:rPr>
          <w:i/>
          <w:iCs/>
          <w:kern w:val="0"/>
          <w14:ligatures w14:val="none"/>
        </w:rPr>
        <w:t>van de naburige rechten van statutaire werknemers voor diensten die in het kader van de arbeidsverhouding worden verricht?</w:t>
      </w:r>
      <w:r w:rsidR="00C5137A" w:rsidRPr="00016962">
        <w:rPr>
          <w:rStyle w:val="Voetnootmarkering"/>
          <w:kern w:val="0"/>
          <w14:ligatures w14:val="none"/>
        </w:rPr>
        <w:footnoteReference w:id="4"/>
      </w:r>
    </w:p>
    <w:p w14:paraId="307C1780" w14:textId="728FE7A8" w:rsidR="00726A5F" w:rsidRPr="008251D4" w:rsidRDefault="008251D4" w:rsidP="008251D4">
      <w:pPr>
        <w:rPr>
          <w:kern w:val="0"/>
          <w14:ligatures w14:val="none"/>
        </w:rPr>
      </w:pPr>
      <w:r w:rsidRPr="008251D4">
        <w:rPr>
          <w:kern w:val="0"/>
          <w14:ligatures w14:val="none"/>
        </w:rPr>
        <w:lastRenderedPageBreak/>
        <w:t xml:space="preserve">Artikelen 18 tot en met 23 DSM-richtlijn zijn de bepalingen </w:t>
      </w:r>
      <w:r w:rsidR="001110F4">
        <w:rPr>
          <w:kern w:val="0"/>
          <w14:ligatures w14:val="none"/>
        </w:rPr>
        <w:t xml:space="preserve">van geharmoniseerd auteurscontractenrecht, met in artikel 18 </w:t>
      </w:r>
      <w:r w:rsidRPr="008251D4">
        <w:rPr>
          <w:kern w:val="0"/>
          <w14:ligatures w14:val="none"/>
        </w:rPr>
        <w:t xml:space="preserve">de </w:t>
      </w:r>
      <w:r w:rsidR="001110F4">
        <w:rPr>
          <w:kern w:val="0"/>
          <w14:ligatures w14:val="none"/>
        </w:rPr>
        <w:t xml:space="preserve">aanspraak op </w:t>
      </w:r>
      <w:r w:rsidRPr="008251D4">
        <w:rPr>
          <w:kern w:val="0"/>
          <w14:ligatures w14:val="none"/>
        </w:rPr>
        <w:t>billijke vergoeding van auteurs en uitvoerende kunstenaars in exploitatiecontracten.</w:t>
      </w:r>
    </w:p>
    <w:p w14:paraId="7D137173" w14:textId="56D88A80" w:rsidR="00A92C9E" w:rsidRPr="00867AA0" w:rsidRDefault="00836E5C" w:rsidP="00867AA0">
      <w:pPr>
        <w:rPr>
          <w:i/>
          <w:iCs/>
        </w:rPr>
      </w:pPr>
      <w:r>
        <w:rPr>
          <w:kern w:val="0"/>
          <w14:ligatures w14:val="none"/>
        </w:rPr>
        <w:t xml:space="preserve">Daarnaast wordt een tweede vraag gesteld over het overgangsrecht, waar we aan het einde van deze bijdrage op terugkomen. </w:t>
      </w:r>
      <w:r w:rsidR="00206BA8" w:rsidRPr="00867AA0">
        <w:rPr>
          <w:i/>
          <w:iCs/>
        </w:rPr>
        <w:t xml:space="preserve">Achtergrond </w:t>
      </w:r>
      <w:r w:rsidR="00E11442" w:rsidRPr="00867AA0">
        <w:rPr>
          <w:i/>
          <w:iCs/>
        </w:rPr>
        <w:t>van de prejudiciële vragen</w:t>
      </w:r>
    </w:p>
    <w:p w14:paraId="7281725E" w14:textId="4C4622B2" w:rsidR="00D45CDC" w:rsidRDefault="008251D4" w:rsidP="00C91D91">
      <w:r>
        <w:t xml:space="preserve">Deze </w:t>
      </w:r>
      <w:r w:rsidR="00C91D91">
        <w:t xml:space="preserve">vragen </w:t>
      </w:r>
      <w:r>
        <w:t>worden gesteld in</w:t>
      </w:r>
      <w:r w:rsidR="00C91D91">
        <w:t xml:space="preserve"> een geschil tussen </w:t>
      </w:r>
      <w:r w:rsidR="00E82FF6">
        <w:t xml:space="preserve">de </w:t>
      </w:r>
      <w:r>
        <w:t>musici</w:t>
      </w:r>
      <w:r w:rsidR="00E82FF6">
        <w:t xml:space="preserve"> van het </w:t>
      </w:r>
      <w:proofErr w:type="spellStart"/>
      <w:r w:rsidR="00E82FF6">
        <w:t>Orchestre</w:t>
      </w:r>
      <w:proofErr w:type="spellEnd"/>
      <w:r w:rsidR="00E82FF6">
        <w:t xml:space="preserve"> </w:t>
      </w:r>
      <w:r>
        <w:t>N</w:t>
      </w:r>
      <w:r w:rsidR="00E82FF6">
        <w:t xml:space="preserve">ational de </w:t>
      </w:r>
      <w:proofErr w:type="spellStart"/>
      <w:r w:rsidR="00E82FF6">
        <w:t>Belgique</w:t>
      </w:r>
      <w:proofErr w:type="spellEnd"/>
      <w:r w:rsidR="00E82FF6">
        <w:t xml:space="preserve"> (hierna: ONB</w:t>
      </w:r>
      <w:r w:rsidR="00EF793F">
        <w:rPr>
          <w:rStyle w:val="Voetnootmarkering"/>
        </w:rPr>
        <w:footnoteReference w:id="5"/>
      </w:r>
      <w:r w:rsidR="00E82FF6">
        <w:t xml:space="preserve">) en </w:t>
      </w:r>
      <w:r w:rsidR="00441E45">
        <w:t>de Belgische Staat</w:t>
      </w:r>
      <w:r w:rsidR="00366BAA">
        <w:t xml:space="preserve"> (met het ONB als tussenkomende partij)</w:t>
      </w:r>
      <w:r w:rsidR="00E82FF6">
        <w:t>. Tussen 2016 en 20</w:t>
      </w:r>
      <w:r w:rsidR="00D5256F">
        <w:t xml:space="preserve">20 hebben de vakbonden van de </w:t>
      </w:r>
      <w:r>
        <w:t>musici</w:t>
      </w:r>
      <w:r w:rsidR="00D5256F">
        <w:t xml:space="preserve"> en </w:t>
      </w:r>
      <w:r w:rsidR="00661A8B">
        <w:t>het</w:t>
      </w:r>
      <w:r w:rsidR="00D5256F">
        <w:t xml:space="preserve"> ONB</w:t>
      </w:r>
      <w:r w:rsidR="003A7F13">
        <w:t xml:space="preserve"> zonder succes</w:t>
      </w:r>
      <w:r w:rsidR="00D5256F">
        <w:t xml:space="preserve"> </w:t>
      </w:r>
      <w:r w:rsidR="003A7F13">
        <w:t>onderhandeld over een cao</w:t>
      </w:r>
      <w:r w:rsidR="000E7614">
        <w:t xml:space="preserve"> </w:t>
      </w:r>
      <w:r>
        <w:t>over</w:t>
      </w:r>
      <w:r w:rsidR="000E7614">
        <w:t xml:space="preserve"> </w:t>
      </w:r>
      <w:r w:rsidR="00661A8B">
        <w:t xml:space="preserve">vergoedingen voor de </w:t>
      </w:r>
      <w:r>
        <w:t>musici</w:t>
      </w:r>
      <w:r w:rsidR="005741D7">
        <w:t xml:space="preserve"> voor verschillende optredens en exploitaties</w:t>
      </w:r>
      <w:r w:rsidR="003A7F13">
        <w:t xml:space="preserve">. Na deze </w:t>
      </w:r>
      <w:r>
        <w:t>mislukte</w:t>
      </w:r>
      <w:r w:rsidR="003A7F13">
        <w:t xml:space="preserve"> onderhandelingen</w:t>
      </w:r>
      <w:r w:rsidR="008A42B7">
        <w:t xml:space="preserve">, en een </w:t>
      </w:r>
      <w:r w:rsidR="00673A8C">
        <w:t>succesvolle inbreukactie van individuele musici tegen het ONB die een aantal optredens via streaming had verspreid,</w:t>
      </w:r>
      <w:r w:rsidR="003A7F13">
        <w:t xml:space="preserve"> </w:t>
      </w:r>
      <w:r w:rsidR="00471409">
        <w:t xml:space="preserve">verzocht </w:t>
      </w:r>
      <w:r w:rsidR="0034452E">
        <w:t xml:space="preserve">het ONB de Belgische regering </w:t>
      </w:r>
      <w:r w:rsidR="00471409">
        <w:t xml:space="preserve">die vergoedingen bij </w:t>
      </w:r>
      <w:r w:rsidR="0034452E">
        <w:t xml:space="preserve">Koninklijk Besluit </w:t>
      </w:r>
      <w:r w:rsidR="00471409">
        <w:t xml:space="preserve">vast </w:t>
      </w:r>
      <w:r w:rsidR="0034452E">
        <w:t xml:space="preserve">te </w:t>
      </w:r>
      <w:r w:rsidR="00471409">
        <w:t>stellen</w:t>
      </w:r>
      <w:r w:rsidR="00BD0BA6">
        <w:t>.</w:t>
      </w:r>
      <w:r w:rsidR="00823F97">
        <w:t xml:space="preserve"> </w:t>
      </w:r>
      <w:r>
        <w:t>In</w:t>
      </w:r>
      <w:r w:rsidR="00D157D8">
        <w:t xml:space="preserve"> reactie hierop </w:t>
      </w:r>
      <w:r w:rsidR="0073090E">
        <w:t xml:space="preserve">op 4 juni 2021 </w:t>
      </w:r>
      <w:r w:rsidR="004F11A3">
        <w:t xml:space="preserve">het </w:t>
      </w:r>
      <w:r w:rsidR="004F11A3" w:rsidRPr="002E6516">
        <w:rPr>
          <w:i/>
          <w:iCs/>
        </w:rPr>
        <w:t xml:space="preserve">Koninklijk Besluit </w:t>
      </w:r>
      <w:r w:rsidR="002E6516" w:rsidRPr="002E6516">
        <w:rPr>
          <w:i/>
          <w:iCs/>
        </w:rPr>
        <w:t>houdende</w:t>
      </w:r>
      <w:r w:rsidR="004F11A3" w:rsidRPr="002E6516">
        <w:rPr>
          <w:i/>
          <w:iCs/>
        </w:rPr>
        <w:t xml:space="preserve"> de naburige rechten </w:t>
      </w:r>
      <w:r w:rsidR="002E6516" w:rsidRPr="002E6516">
        <w:rPr>
          <w:i/>
          <w:iCs/>
        </w:rPr>
        <w:t>van het artistiek personeel van het [ONB]</w:t>
      </w:r>
      <w:r w:rsidR="004F11A3">
        <w:t xml:space="preserve"> </w:t>
      </w:r>
      <w:r w:rsidR="00B70838">
        <w:t xml:space="preserve">(hierna: </w:t>
      </w:r>
      <w:r w:rsidR="009A32BE">
        <w:t>KB</w:t>
      </w:r>
      <w:r w:rsidR="00B70838">
        <w:t xml:space="preserve">) </w:t>
      </w:r>
      <w:r w:rsidR="004F11A3">
        <w:t>gepubliceerd in het Belgische Staatsblad</w:t>
      </w:r>
      <w:r>
        <w:t>.</w:t>
      </w:r>
      <w:r w:rsidR="002E6516">
        <w:rPr>
          <w:rStyle w:val="Voetnootmarkering"/>
        </w:rPr>
        <w:footnoteReference w:id="6"/>
      </w:r>
      <w:r>
        <w:t xml:space="preserve"> </w:t>
      </w:r>
    </w:p>
    <w:p w14:paraId="14DFDBD9" w14:textId="44F5AF8D" w:rsidR="00D45CDC" w:rsidRDefault="00D45CDC" w:rsidP="003D319E">
      <w:r>
        <w:t xml:space="preserve">In dit KB wordt een regeling getroffen ten aanzien van dat deel van de musici met een </w:t>
      </w:r>
      <w:r w:rsidR="004C3CDF">
        <w:t xml:space="preserve">ambtelijke status (“administratiefrechtelijk statuut”) welk stelsel ook zal worden toegepast op musici-werknemers. </w:t>
      </w:r>
      <w:r w:rsidR="0005547C">
        <w:t xml:space="preserve">In artikel 2 van het KB wordt vervolgens in algemene zin bepaald dat de uitvoerende kunstenaar </w:t>
      </w:r>
      <w:r w:rsidR="003D319E">
        <w:t>“…de naburige rechten verbonden aan zijn prestaties in het kader van zijn opdracht in dienst</w:t>
      </w:r>
      <w:r w:rsidR="00E6623A">
        <w:t xml:space="preserve"> </w:t>
      </w:r>
      <w:r w:rsidR="003D319E">
        <w:t>van het Nationaal Orkest van België over</w:t>
      </w:r>
      <w:r w:rsidR="00B75BBC">
        <w:t>[draagt]</w:t>
      </w:r>
      <w:r w:rsidR="003D319E">
        <w:t xml:space="preserve"> aan het Nationaal Orkest van</w:t>
      </w:r>
      <w:r w:rsidR="00E6623A">
        <w:t xml:space="preserve"> </w:t>
      </w:r>
      <w:r w:rsidR="003D319E">
        <w:t>België, overeenkomstig de bepalingen van dit besluit</w:t>
      </w:r>
      <w:r w:rsidR="00E6623A">
        <w:t>”</w:t>
      </w:r>
      <w:r w:rsidR="00B75BBC">
        <w:t>,</w:t>
      </w:r>
      <w:r w:rsidR="003363AC">
        <w:t xml:space="preserve"> welke overdracht eeuwigdurend en wereldwijd is voor zowel reproductie als mededeling aan het publiek. </w:t>
      </w:r>
      <w:r w:rsidR="005741D7">
        <w:t xml:space="preserve">De musici krijgen </w:t>
      </w:r>
      <w:r w:rsidR="007727CA">
        <w:t xml:space="preserve">vervolgens </w:t>
      </w:r>
      <w:r w:rsidR="00500F50">
        <w:t>vaste vergoedingen toegekend van EUR 600 bruto per jaar tot een maximum van 25 diensten en een toeslag van EUR 24 per dienst daarboven</w:t>
      </w:r>
      <w:r w:rsidR="00B616D2">
        <w:t xml:space="preserve"> (</w:t>
      </w:r>
      <w:r w:rsidR="00E13335">
        <w:t>ofwel hetzelfde bedrag, want 600/25=24)</w:t>
      </w:r>
      <w:r w:rsidR="00500F50">
        <w:t xml:space="preserve">, naast een aantal specifieke </w:t>
      </w:r>
      <w:proofErr w:type="spellStart"/>
      <w:r w:rsidR="00500F50">
        <w:t>lump</w:t>
      </w:r>
      <w:proofErr w:type="spellEnd"/>
      <w:r w:rsidR="00500F50">
        <w:t xml:space="preserve"> </w:t>
      </w:r>
      <w:proofErr w:type="spellStart"/>
      <w:r w:rsidR="00500F50">
        <w:t>sum</w:t>
      </w:r>
      <w:proofErr w:type="spellEnd"/>
      <w:r w:rsidR="00500F50">
        <w:t xml:space="preserve"> vergoedingen voor diverse andere exploitatievormen. </w:t>
      </w:r>
      <w:r w:rsidR="00DE3207">
        <w:t>Het KB laat de aanspraken van de musici op collectief te incasseren vergoedingen onverlet.</w:t>
      </w:r>
    </w:p>
    <w:p w14:paraId="4BBF305F" w14:textId="6008D555" w:rsidR="009117D9" w:rsidRDefault="00B174DE" w:rsidP="00C91D91">
      <w:r>
        <w:t xml:space="preserve">Ondanks het feit dat </w:t>
      </w:r>
      <w:r w:rsidR="00A67A33">
        <w:t xml:space="preserve">de </w:t>
      </w:r>
      <w:r w:rsidR="00B96A9F">
        <w:t xml:space="preserve">implementatietermijn van de </w:t>
      </w:r>
      <w:r w:rsidR="00A67A33">
        <w:t>DSM</w:t>
      </w:r>
      <w:r w:rsidR="00B96A9F">
        <w:t>-richtlijn</w:t>
      </w:r>
      <w:r w:rsidR="00A67A33">
        <w:t xml:space="preserve"> pas </w:t>
      </w:r>
      <w:r>
        <w:t xml:space="preserve">op 7 juni 2021 </w:t>
      </w:r>
      <w:r w:rsidR="00B96A9F">
        <w:t>verstreek</w:t>
      </w:r>
      <w:r>
        <w:t xml:space="preserve">, volgt uit de preambule van het </w:t>
      </w:r>
      <w:r w:rsidR="009A32BE">
        <w:t>KB</w:t>
      </w:r>
      <w:r>
        <w:t xml:space="preserve"> dat bij de opstelling wel rekening is gehouden met de </w:t>
      </w:r>
      <w:r w:rsidR="00B96A9F">
        <w:t>DSM-richtlijn</w:t>
      </w:r>
      <w:r w:rsidR="0032231F">
        <w:t xml:space="preserve">, in het bijzonder artikel 18 </w:t>
      </w:r>
      <w:r w:rsidR="008251D4">
        <w:t>DSM</w:t>
      </w:r>
      <w:r w:rsidR="00B96A9F">
        <w:t>-richtlijn</w:t>
      </w:r>
      <w:r w:rsidR="008251D4">
        <w:t xml:space="preserve">. </w:t>
      </w:r>
      <w:r w:rsidR="009117D9">
        <w:t xml:space="preserve">In de preambule </w:t>
      </w:r>
      <w:r w:rsidR="00B96A9F">
        <w:t xml:space="preserve">van het KB </w:t>
      </w:r>
      <w:r w:rsidR="009117D9">
        <w:t xml:space="preserve">wordt dit als volgt verwoord: </w:t>
      </w:r>
    </w:p>
    <w:p w14:paraId="79FB92C4" w14:textId="77777777" w:rsidR="00D83CB9" w:rsidRDefault="00E11442" w:rsidP="00E11442">
      <w:pPr>
        <w:ind w:left="708"/>
        <w:rPr>
          <w:i/>
          <w:iCs/>
        </w:rPr>
      </w:pPr>
      <w:r>
        <w:rPr>
          <w:i/>
          <w:iCs/>
        </w:rPr>
        <w:t>“</w:t>
      </w:r>
      <w:r w:rsidR="00061072" w:rsidRPr="00E11442">
        <w:rPr>
          <w:i/>
          <w:iCs/>
        </w:rPr>
        <w:t>Overwegende dat artikel XI.205, § 4, van het Wetboek van economisch recht bepaalt dat, wanneer een uitvoerende kunstenaar een prestatie levert ter uitvoering van een arbeidsovereenkomst of een statuut, de vermogensrechten die voortvloeien uit naburige rechten kunnen worden overgedragen aan de werkgever voor zover uitdrukkelijk in die overdracht van rechten is voorzien en voor zover de prestatie binnen het toepassingsgebied van de arbeidsovereenkomst of het statuut valt;</w:t>
      </w:r>
      <w:r w:rsidR="00061072" w:rsidRPr="00E11442">
        <w:rPr>
          <w:i/>
          <w:iCs/>
        </w:rPr>
        <w:br/>
        <w:t>(…)</w:t>
      </w:r>
      <w:r w:rsidR="00061072" w:rsidRPr="00E11442">
        <w:rPr>
          <w:i/>
          <w:iCs/>
        </w:rPr>
        <w:br/>
        <w:t xml:space="preserve">Overwegende dat artikel 18 </w:t>
      </w:r>
      <w:r w:rsidR="00061072" w:rsidRPr="00D83CB9">
        <w:t>[DSM</w:t>
      </w:r>
      <w:r w:rsidR="00D83CB9" w:rsidRPr="00D83CB9">
        <w:t>-richtlijn</w:t>
      </w:r>
      <w:r w:rsidR="00061072" w:rsidRPr="00D83CB9">
        <w:t>]</w:t>
      </w:r>
      <w:r w:rsidR="00061072" w:rsidRPr="00E11442">
        <w:rPr>
          <w:i/>
          <w:iCs/>
        </w:rPr>
        <w:t xml:space="preserve"> (…) het beginsel van een passende en evenredige vergoeding van uitvoerende kunstenaars verankert, rekening houdend met het beginsel van contractuele vrijheid en een billijk evenwicht tussen rechten en belangen;</w:t>
      </w:r>
    </w:p>
    <w:p w14:paraId="4DBAFD8E" w14:textId="77777777" w:rsidR="007D6303" w:rsidRDefault="00061072" w:rsidP="00E11442">
      <w:pPr>
        <w:ind w:left="708"/>
        <w:rPr>
          <w:i/>
          <w:iCs/>
        </w:rPr>
      </w:pPr>
      <w:r w:rsidRPr="00E11442">
        <w:rPr>
          <w:i/>
          <w:iCs/>
        </w:rPr>
        <w:lastRenderedPageBreak/>
        <w:t>Overwegende dat in overweging 73 van dezelfde Richtlijn wordt bepaald dat een forfaitair bedrag ook een evenredige vergoeding kan vormen en dat de lidstaten rekening kunnen houden met de specifieke kenmerken van elke sector;</w:t>
      </w:r>
    </w:p>
    <w:p w14:paraId="1802BF8E" w14:textId="199E05DB" w:rsidR="00E11442" w:rsidRDefault="00061072" w:rsidP="00E11442">
      <w:pPr>
        <w:ind w:left="708"/>
        <w:rPr>
          <w:i/>
          <w:iCs/>
        </w:rPr>
      </w:pPr>
      <w:r w:rsidRPr="00E11442">
        <w:rPr>
          <w:i/>
          <w:iCs/>
        </w:rPr>
        <w:t>Overwegende dat de vergoeding waarin dit koninklijk besluit voorziet, passend en evenredig is, gelet op de specifieke kenmerken van de sector, de winsten die worden gegenereerd door de exploitatie van de naburige rechten van de musici van het Nationaal Orkest van België en de vergoeding van naburige rechten die wordt toegepast in Belgische orkesten van vergelijkbare omvang en rechtspositie;</w:t>
      </w:r>
      <w:r w:rsidR="00E11442" w:rsidRPr="00E11442">
        <w:rPr>
          <w:i/>
          <w:iCs/>
        </w:rPr>
        <w:br/>
        <w:t>(…)”</w:t>
      </w:r>
    </w:p>
    <w:p w14:paraId="42976A0B" w14:textId="38F1A30B" w:rsidR="00AA4DD5" w:rsidRPr="00867AA0" w:rsidRDefault="007831AC" w:rsidP="00867AA0">
      <w:pPr>
        <w:rPr>
          <w:i/>
          <w:iCs/>
        </w:rPr>
      </w:pPr>
      <w:r>
        <w:rPr>
          <w:i/>
          <w:iCs/>
        </w:rPr>
        <w:t>H</w:t>
      </w:r>
      <w:r w:rsidR="00A67A33" w:rsidRPr="00867AA0">
        <w:rPr>
          <w:i/>
          <w:iCs/>
        </w:rPr>
        <w:t>et geschil</w:t>
      </w:r>
    </w:p>
    <w:p w14:paraId="49649731" w14:textId="609A7A74" w:rsidR="00D96954" w:rsidRDefault="00910C41" w:rsidP="007178DD">
      <w:r>
        <w:t xml:space="preserve">De musici vorderen vernietiging </w:t>
      </w:r>
      <w:r w:rsidR="007178DD">
        <w:t>van het KB bij de Belgische</w:t>
      </w:r>
      <w:r w:rsidR="00255478">
        <w:t xml:space="preserve"> Raad van State</w:t>
      </w:r>
      <w:r w:rsidR="007178DD">
        <w:t xml:space="preserve">, onder meer met een beroep op (volgens hen) strijd tussen </w:t>
      </w:r>
      <w:r w:rsidR="009F4427">
        <w:t xml:space="preserve">artikel XI.205, § 4 van het Wetboek van economisch recht </w:t>
      </w:r>
      <w:r w:rsidR="007178DD">
        <w:t xml:space="preserve">en de DSM-richtlijn. </w:t>
      </w:r>
      <w:r w:rsidR="00BD3A60">
        <w:t xml:space="preserve">De </w:t>
      </w:r>
      <w:r w:rsidR="00DA6274">
        <w:t>musici</w:t>
      </w:r>
      <w:r w:rsidR="00BD3A60">
        <w:t xml:space="preserve"> merken namelijk op dat de artikelen XI.203 tot en met XI.208 </w:t>
      </w:r>
      <w:r w:rsidR="002C5B48">
        <w:t>individuele en exclusieve naburige rechten toeken</w:t>
      </w:r>
      <w:r w:rsidR="00A07959">
        <w:t>nen</w:t>
      </w:r>
      <w:r w:rsidR="002C5B48">
        <w:t xml:space="preserve"> aan uitvoerende kunstenaars</w:t>
      </w:r>
      <w:r w:rsidR="00A07959">
        <w:t xml:space="preserve"> </w:t>
      </w:r>
      <w:r w:rsidR="002C5B48">
        <w:t xml:space="preserve">waarvan </w:t>
      </w:r>
      <w:r w:rsidR="00A07959">
        <w:t xml:space="preserve">volgens hen </w:t>
      </w:r>
      <w:r w:rsidR="002C5B48">
        <w:t xml:space="preserve">de bescherming wordt gewaarborgd door </w:t>
      </w:r>
      <w:r w:rsidR="00C6043F">
        <w:t>verschillende (grondwettelijke) eigendomsrechten.</w:t>
      </w:r>
      <w:r w:rsidR="00C6043F">
        <w:rPr>
          <w:rStyle w:val="Voetnootmarkering"/>
        </w:rPr>
        <w:footnoteReference w:id="7"/>
      </w:r>
      <w:r w:rsidR="00C6043F">
        <w:t xml:space="preserve"> </w:t>
      </w:r>
      <w:r w:rsidR="00E117AB">
        <w:t xml:space="preserve">Deze rechten zijn volgens </w:t>
      </w:r>
      <w:r w:rsidR="004736D7">
        <w:t xml:space="preserve">artikel </w:t>
      </w:r>
      <w:r w:rsidR="004736D7">
        <w:rPr>
          <w:kern w:val="0"/>
          <w14:ligatures w14:val="none"/>
        </w:rPr>
        <w:t xml:space="preserve">XI.203 </w:t>
      </w:r>
      <w:r w:rsidR="00E117AB">
        <w:t xml:space="preserve">enkel overdraagbaar in overeenstemming met de bepalingen uit het Burgerlijk Wetboek, ofwel, er moet sprake zijn van wilsovereenstemming. </w:t>
      </w:r>
      <w:r w:rsidR="00D96954">
        <w:t>Hieraan wordt toegevoegd dat krachtens artikel XI.205</w:t>
      </w:r>
      <w:r w:rsidR="00D96954" w:rsidRPr="00D96954">
        <w:t xml:space="preserve"> </w:t>
      </w:r>
      <w:r w:rsidR="00D96954">
        <w:t xml:space="preserve">§ 4 de overdracht of toekenning van deze rechten mogelijk is, maar onder de daarin bepaalde voorwaarden, inhoudende dat de omvang en de voorwaarden van de overdracht van deze rechten kan worden bepaald door middel van een individuele overeenkomst of door een </w:t>
      </w:r>
      <w:r w:rsidR="00994035">
        <w:t>“</w:t>
      </w:r>
      <w:r w:rsidR="00D96954">
        <w:t>collectieve overeenkomst</w:t>
      </w:r>
      <w:r w:rsidR="00994035">
        <w:t>”</w:t>
      </w:r>
      <w:r w:rsidR="00D96954">
        <w:t xml:space="preserve">, </w:t>
      </w:r>
      <w:r w:rsidR="00A07959">
        <w:t>wat dus</w:t>
      </w:r>
      <w:r w:rsidR="00EE4879">
        <w:t xml:space="preserve"> nog steeds</w:t>
      </w:r>
      <w:r w:rsidR="00D96954">
        <w:t xml:space="preserve"> een wilsovereenstemming tussen de partijen veronderstelt. </w:t>
      </w:r>
      <w:r w:rsidR="0067565B">
        <w:t xml:space="preserve">Nu het KB </w:t>
      </w:r>
      <w:r w:rsidR="003015DB">
        <w:t>een eenzijdig opgesteld</w:t>
      </w:r>
      <w:r w:rsidR="007872E1">
        <w:t xml:space="preserve">e regeling is, zonder dat de houders van de naburige rechten </w:t>
      </w:r>
      <w:r w:rsidR="007E13AB">
        <w:t xml:space="preserve">op welke wijze dan ook hebben ingestemd met de overdracht van hun rechten, zijn zij van mening dat het </w:t>
      </w:r>
      <w:r w:rsidR="00EE4879">
        <w:t xml:space="preserve">KB </w:t>
      </w:r>
      <w:r w:rsidR="007E13AB">
        <w:t>in</w:t>
      </w:r>
      <w:r w:rsidR="008D2F77">
        <w:t xml:space="preserve"> strijd </w:t>
      </w:r>
      <w:r w:rsidR="00EE4879">
        <w:t xml:space="preserve">is </w:t>
      </w:r>
      <w:r w:rsidR="008D2F77">
        <w:t>met verschillende (Europeesrechtelijke en nationaal rechtelijke) bepalingen.</w:t>
      </w:r>
      <w:r w:rsidR="008D2F77">
        <w:rPr>
          <w:rStyle w:val="Voetnootmarkering"/>
        </w:rPr>
        <w:footnoteReference w:id="8"/>
      </w:r>
      <w:r w:rsidR="008D2F77">
        <w:t xml:space="preserve"> </w:t>
      </w:r>
    </w:p>
    <w:p w14:paraId="36330DE2" w14:textId="4770888F" w:rsidR="002B65E0" w:rsidRDefault="003E53FD" w:rsidP="00F14551">
      <w:r>
        <w:t xml:space="preserve">Daartegenover stelt de </w:t>
      </w:r>
      <w:r w:rsidR="0067565B">
        <w:t>Belgische s</w:t>
      </w:r>
      <w:r>
        <w:t xml:space="preserve">taat – samen met de ONB als tussenkomende partij – dat hoewel </w:t>
      </w:r>
      <w:r w:rsidR="002B65E0">
        <w:t xml:space="preserve">in de preambule van het </w:t>
      </w:r>
      <w:r w:rsidR="00E722B2">
        <w:t xml:space="preserve">KB </w:t>
      </w:r>
      <w:r w:rsidR="00557C58">
        <w:t>expliciet wordt verwezen naar de DSM</w:t>
      </w:r>
      <w:r w:rsidR="00E722B2">
        <w:t>-richtlijn</w:t>
      </w:r>
      <w:r w:rsidR="00557C58">
        <w:t xml:space="preserve">, </w:t>
      </w:r>
      <w:r w:rsidR="00053C6B">
        <w:t>de DSM</w:t>
      </w:r>
      <w:r w:rsidR="00E722B2">
        <w:t>-richtlijn</w:t>
      </w:r>
      <w:r w:rsidR="00053C6B">
        <w:t xml:space="preserve"> niet van toepassing is op de arbeidsrechtelijke positie van de </w:t>
      </w:r>
      <w:r w:rsidR="00DA6274">
        <w:t>musici</w:t>
      </w:r>
      <w:r>
        <w:t xml:space="preserve">. Reden hiervoor is dat de </w:t>
      </w:r>
      <w:r w:rsidR="00DA6274">
        <w:t>musici</w:t>
      </w:r>
      <w:r>
        <w:t xml:space="preserve"> </w:t>
      </w:r>
      <w:r w:rsidR="00D83CB9">
        <w:t>deels zijn aangesteld</w:t>
      </w:r>
      <w:r w:rsidR="00053C6B">
        <w:t xml:space="preserve"> als </w:t>
      </w:r>
      <w:r w:rsidR="00053C6B" w:rsidRPr="00FE075C">
        <w:rPr>
          <w:i/>
          <w:iCs/>
        </w:rPr>
        <w:t>‘</w:t>
      </w:r>
      <w:proofErr w:type="spellStart"/>
      <w:r w:rsidR="00053C6B" w:rsidRPr="00FE075C">
        <w:rPr>
          <w:i/>
          <w:iCs/>
        </w:rPr>
        <w:t>agents</w:t>
      </w:r>
      <w:proofErr w:type="spellEnd"/>
      <w:r w:rsidR="00053C6B" w:rsidRPr="00FE075C">
        <w:rPr>
          <w:i/>
          <w:iCs/>
        </w:rPr>
        <w:t xml:space="preserve"> </w:t>
      </w:r>
      <w:proofErr w:type="spellStart"/>
      <w:r w:rsidR="00053C6B" w:rsidRPr="00FE075C">
        <w:rPr>
          <w:i/>
          <w:iCs/>
        </w:rPr>
        <w:t>statutaires</w:t>
      </w:r>
      <w:proofErr w:type="spellEnd"/>
      <w:r w:rsidR="00053C6B" w:rsidRPr="00FE075C">
        <w:rPr>
          <w:i/>
          <w:iCs/>
        </w:rPr>
        <w:t>’</w:t>
      </w:r>
      <w:r w:rsidR="00053C6B">
        <w:t>, letterlijk vertaald</w:t>
      </w:r>
      <w:r w:rsidR="00FE075C">
        <w:t>:</w:t>
      </w:r>
      <w:r w:rsidR="00053C6B">
        <w:t xml:space="preserve"> ‘statutaire werknemers’</w:t>
      </w:r>
      <w:r w:rsidR="003A16B9">
        <w:t xml:space="preserve"> ofwel, naar Nederlandse terminologie, ambtenaren</w:t>
      </w:r>
      <w:r w:rsidR="00053C6B">
        <w:t xml:space="preserve">.  </w:t>
      </w:r>
      <w:r w:rsidR="0090074E">
        <w:t xml:space="preserve">Met deze term wordt verwezen naar de situatie dat </w:t>
      </w:r>
      <w:r w:rsidR="00053C6B">
        <w:t xml:space="preserve">de </w:t>
      </w:r>
      <w:r w:rsidR="00DA6274">
        <w:t>musici</w:t>
      </w:r>
      <w:r w:rsidR="00053C6B">
        <w:t xml:space="preserve"> </w:t>
      </w:r>
      <w:r w:rsidR="006C09DE">
        <w:t>een arbeidsrelatie hebben op grond van een wettelijke regeling</w:t>
      </w:r>
      <w:r w:rsidR="003A16B9">
        <w:t xml:space="preserve"> (“statuut”)</w:t>
      </w:r>
      <w:r w:rsidR="00FE075C">
        <w:t xml:space="preserve"> en </w:t>
      </w:r>
      <w:r w:rsidR="000D7C8B">
        <w:t>dus niet op contractbasis</w:t>
      </w:r>
      <w:r w:rsidR="006C09DE">
        <w:t>.</w:t>
      </w:r>
      <w:r w:rsidR="006C09DE">
        <w:rPr>
          <w:rStyle w:val="Voetnootmarkering"/>
        </w:rPr>
        <w:footnoteReference w:id="9"/>
      </w:r>
      <w:r w:rsidR="003542FC">
        <w:t xml:space="preserve"> </w:t>
      </w:r>
    </w:p>
    <w:p w14:paraId="157A6619" w14:textId="4333B08A" w:rsidR="004250A0" w:rsidRDefault="00867AA0" w:rsidP="004250A0">
      <w:r>
        <w:t>D</w:t>
      </w:r>
      <w:r w:rsidR="004250A0">
        <w:t xml:space="preserve">e </w:t>
      </w:r>
      <w:r w:rsidR="00DA6274">
        <w:t>musici</w:t>
      </w:r>
      <w:r w:rsidR="004250A0">
        <w:t xml:space="preserve"> </w:t>
      </w:r>
      <w:r>
        <w:t>brengen hier tegen in</w:t>
      </w:r>
      <w:r w:rsidR="004250A0">
        <w:t xml:space="preserve"> dat artikel XI.205 § 4 van het Wetboek van economisch recht</w:t>
      </w:r>
      <w:r w:rsidR="00973040">
        <w:t xml:space="preserve"> </w:t>
      </w:r>
      <w:r w:rsidR="004250A0">
        <w:t xml:space="preserve">bepaalt dat wanneer diensten worden verleend ter uitvoering van een arbeidsovereenkomst of een statuut, de economische rechten worden overgedragen hetzij door een individuele overeenkomst, hetzij door </w:t>
      </w:r>
      <w:r w:rsidR="004250A0">
        <w:lastRenderedPageBreak/>
        <w:t>een collectieve overeenkomst die de reikwijdte en de voorwaarden ervan bepaalt</w:t>
      </w:r>
      <w:r w:rsidR="000A4D82">
        <w:t xml:space="preserve">, terwijl het KB </w:t>
      </w:r>
      <w:r w:rsidR="00944B85">
        <w:t>een eenzijdige wetgevende handeling is</w:t>
      </w:r>
      <w:r w:rsidR="004250A0">
        <w:t xml:space="preserve">. </w:t>
      </w:r>
    </w:p>
    <w:p w14:paraId="1E537388" w14:textId="08F53EA5" w:rsidR="001F4530" w:rsidRDefault="001F4530" w:rsidP="004250A0">
      <w:r>
        <w:t xml:space="preserve">In aanvulling hierop voeren de </w:t>
      </w:r>
      <w:r w:rsidR="00DA6274">
        <w:t>musici</w:t>
      </w:r>
      <w:r>
        <w:t xml:space="preserve"> aan dat </w:t>
      </w:r>
      <w:r w:rsidR="00AD09BA">
        <w:t xml:space="preserve">hoewel </w:t>
      </w:r>
      <w:r>
        <w:t>kunstenaars die op basis van een arbeidsovereenkomst in dienst zijn genomen</w:t>
      </w:r>
      <w:r w:rsidR="00AD09BA">
        <w:t xml:space="preserve"> uitdrukkelijk </w:t>
      </w:r>
      <w:r>
        <w:t xml:space="preserve">onder de personele werkingssfeer van de artikelen 18 tot en met 23 van </w:t>
      </w:r>
      <w:r w:rsidR="00AD09BA">
        <w:t>de DSM</w:t>
      </w:r>
      <w:r w:rsidR="003F3534">
        <w:t>-richtlijn</w:t>
      </w:r>
      <w:r>
        <w:t xml:space="preserve"> vallen, </w:t>
      </w:r>
      <w:r w:rsidR="00AD09BA">
        <w:t>‘statutaire kunstenaars’ daartegenover</w:t>
      </w:r>
      <w:r>
        <w:t xml:space="preserve"> niet uitdrukkelijk van de richtlijn zijn uitgesloten. Hieruit leiden </w:t>
      </w:r>
      <w:r w:rsidR="00AD09BA">
        <w:t xml:space="preserve">de </w:t>
      </w:r>
      <w:r w:rsidR="00DA6274">
        <w:t>musici</w:t>
      </w:r>
      <w:r>
        <w:t xml:space="preserve"> af dat </w:t>
      </w:r>
      <w:r w:rsidR="00917F94">
        <w:t xml:space="preserve">ook </w:t>
      </w:r>
      <w:r>
        <w:t xml:space="preserve">zij moeten worden beschouwd als werknemers met een arbeidsovereenkomst in de zin van </w:t>
      </w:r>
      <w:r w:rsidR="00994DCA">
        <w:t>de DSM</w:t>
      </w:r>
      <w:r w:rsidR="003F3534">
        <w:t>-richtlijn</w:t>
      </w:r>
      <w:r w:rsidR="00843F77">
        <w:t xml:space="preserve">, waardoor </w:t>
      </w:r>
      <w:r w:rsidR="00994DCA">
        <w:t xml:space="preserve">de positie van </w:t>
      </w:r>
      <w:r w:rsidR="00917F94">
        <w:t>het</w:t>
      </w:r>
      <w:r w:rsidR="00994DCA">
        <w:t xml:space="preserve"> ONB in het licht van de overwegingen 72</w:t>
      </w:r>
      <w:r w:rsidR="003F20DF">
        <w:rPr>
          <w:rStyle w:val="Voetnootmarkering"/>
        </w:rPr>
        <w:footnoteReference w:id="10"/>
      </w:r>
      <w:r w:rsidR="00994DCA">
        <w:t xml:space="preserve"> en 73</w:t>
      </w:r>
      <w:r w:rsidR="00E36B3C">
        <w:rPr>
          <w:rStyle w:val="Voetnootmarkering"/>
        </w:rPr>
        <w:footnoteReference w:id="11"/>
      </w:r>
      <w:r w:rsidR="00994DCA">
        <w:t xml:space="preserve"> van de</w:t>
      </w:r>
      <w:r w:rsidR="00801C2F">
        <w:t xml:space="preserve"> richtlijn</w:t>
      </w:r>
      <w:r w:rsidR="00994DCA">
        <w:t xml:space="preserve"> moet worden </w:t>
      </w:r>
      <w:r w:rsidR="00801C2F">
        <w:t>beoordeeld</w:t>
      </w:r>
      <w:r>
        <w:t xml:space="preserve">. </w:t>
      </w:r>
      <w:r w:rsidR="00801C2F">
        <w:t>D</w:t>
      </w:r>
      <w:r w:rsidR="00994DCA">
        <w:t xml:space="preserve">e </w:t>
      </w:r>
      <w:r w:rsidR="00DA6274">
        <w:t>musici</w:t>
      </w:r>
      <w:r>
        <w:t xml:space="preserve"> </w:t>
      </w:r>
      <w:r w:rsidR="00801C2F">
        <w:t xml:space="preserve">benadrukken </w:t>
      </w:r>
      <w:r>
        <w:t xml:space="preserve">dat het ONB niet optreedt als eindgebruiker in de zin van overweging 72, maar dat het de uitvoeringen van de kunstenaars zelf </w:t>
      </w:r>
      <w:r w:rsidR="003150A3">
        <w:t>via</w:t>
      </w:r>
      <w:r>
        <w:t xml:space="preserve"> derden exploite</w:t>
      </w:r>
      <w:r w:rsidR="005A47D3">
        <w:t>e</w:t>
      </w:r>
      <w:r>
        <w:t>r</w:t>
      </w:r>
      <w:r w:rsidR="005A47D3">
        <w:t>t</w:t>
      </w:r>
      <w:r>
        <w:t xml:space="preserve">. </w:t>
      </w:r>
      <w:r w:rsidR="00996B51">
        <w:t xml:space="preserve">Kortom, zowel kunstenaars die op contractbasis zijn ingehuurd als </w:t>
      </w:r>
      <w:r>
        <w:t xml:space="preserve">kunstenaars </w:t>
      </w:r>
      <w:r w:rsidR="003150A3">
        <w:t xml:space="preserve">met ambtelijke status </w:t>
      </w:r>
      <w:r w:rsidR="00996B51">
        <w:t>horen de door de DSM</w:t>
      </w:r>
      <w:r w:rsidR="005A47D3">
        <w:t>-richtlijn</w:t>
      </w:r>
      <w:r>
        <w:t xml:space="preserve"> geboden bescherming </w:t>
      </w:r>
      <w:r w:rsidR="00996B51">
        <w:t>te</w:t>
      </w:r>
      <w:r>
        <w:t xml:space="preserve"> genieten</w:t>
      </w:r>
      <w:r w:rsidR="00593567">
        <w:t xml:space="preserve"> inclusief het recht op billijke vergoeding</w:t>
      </w:r>
      <w:r>
        <w:t>.</w:t>
      </w:r>
      <w:r w:rsidR="00593567">
        <w:t xml:space="preserve"> </w:t>
      </w:r>
    </w:p>
    <w:p w14:paraId="08522C99" w14:textId="16932CB5" w:rsidR="00867AA0" w:rsidRDefault="00867AA0" w:rsidP="00867AA0">
      <w:r>
        <w:t>Tegen deze achtergrond stelt d</w:t>
      </w:r>
      <w:r w:rsidR="00FF6424">
        <w:t xml:space="preserve">e </w:t>
      </w:r>
      <w:r>
        <w:t xml:space="preserve">Belgische </w:t>
      </w:r>
      <w:r w:rsidR="00FF6424">
        <w:t>Raad van State</w:t>
      </w:r>
      <w:r>
        <w:t xml:space="preserve"> de genoemde vragen.</w:t>
      </w:r>
    </w:p>
    <w:p w14:paraId="489F11D8" w14:textId="42F0B6D5" w:rsidR="00867AA0" w:rsidRPr="00464B07" w:rsidRDefault="00867AA0" w:rsidP="00867AA0">
      <w:pPr>
        <w:rPr>
          <w:i/>
          <w:iCs/>
        </w:rPr>
      </w:pPr>
      <w:r w:rsidRPr="00464B07">
        <w:rPr>
          <w:i/>
          <w:iCs/>
        </w:rPr>
        <w:t>Wat betekent dit voor Nederland?</w:t>
      </w:r>
    </w:p>
    <w:p w14:paraId="0138AAED" w14:textId="4370F5E4" w:rsidR="008F4466" w:rsidRDefault="008F4466" w:rsidP="008F0F7C">
      <w:r>
        <w:t xml:space="preserve">In elk geval op het eerste gezicht springt de betekenis voor Nederland van deze vragen niet direct in het oog. </w:t>
      </w:r>
      <w:r w:rsidR="00867AA0">
        <w:t xml:space="preserve">De Nederlandse Auteurswet en </w:t>
      </w:r>
      <w:r w:rsidR="00EA33A8">
        <w:t xml:space="preserve">de Wet naburige rechten </w:t>
      </w:r>
      <w:r w:rsidR="00867AA0">
        <w:t>kennen</w:t>
      </w:r>
      <w:r w:rsidR="00EE4850">
        <w:t xml:space="preserve"> naast de algemene bepaling over overdraagbaarheid van </w:t>
      </w:r>
      <w:r>
        <w:t xml:space="preserve">auteurs- en naburige </w:t>
      </w:r>
      <w:r w:rsidR="00EE4850">
        <w:t xml:space="preserve">rechten (artikel 2 </w:t>
      </w:r>
      <w:proofErr w:type="spellStart"/>
      <w:r w:rsidR="00EE4850">
        <w:t>Aw</w:t>
      </w:r>
      <w:proofErr w:type="spellEnd"/>
      <w:r w:rsidR="00EE4850">
        <w:t xml:space="preserve"> en artikel 9 </w:t>
      </w:r>
      <w:proofErr w:type="spellStart"/>
      <w:r w:rsidR="00EE4850">
        <w:t>Wnr</w:t>
      </w:r>
      <w:proofErr w:type="spellEnd"/>
      <w:r w:rsidR="00EE4850">
        <w:rPr>
          <w:rStyle w:val="Voetnootmarkering"/>
        </w:rPr>
        <w:footnoteReference w:id="12"/>
      </w:r>
      <w:r w:rsidR="00EE4850">
        <w:t>)</w:t>
      </w:r>
      <w:r w:rsidR="00867AA0">
        <w:t xml:space="preserve"> geen </w:t>
      </w:r>
      <w:r w:rsidR="000F1018">
        <w:t>specifiek op arbeidsverhoudingen toegeschreven overdrachts</w:t>
      </w:r>
      <w:r w:rsidR="00867AA0">
        <w:t xml:space="preserve">bepaling vergelijkbaar met </w:t>
      </w:r>
      <w:r w:rsidR="00EA33A8">
        <w:t>het</w:t>
      </w:r>
      <w:r w:rsidR="00867AA0">
        <w:t xml:space="preserve"> bewuste </w:t>
      </w:r>
      <w:r w:rsidR="00867AA0" w:rsidRPr="00867AA0">
        <w:t>artikel XI.205 paragraaf 4 van het Wetboek van economisch recht</w:t>
      </w:r>
      <w:r w:rsidR="00867AA0">
        <w:t xml:space="preserve">. </w:t>
      </w:r>
    </w:p>
    <w:p w14:paraId="67229BA8" w14:textId="5A5A89F6" w:rsidR="000863C8" w:rsidRPr="00803095" w:rsidRDefault="00AB7E9A" w:rsidP="008F0F7C">
      <w:r>
        <w:t xml:space="preserve">Uit de verwijzingsbeslissing blijkt dat tussen partijen </w:t>
      </w:r>
      <w:r w:rsidR="00E53893">
        <w:t>uitvoerig</w:t>
      </w:r>
      <w:r w:rsidR="0009346A">
        <w:rPr>
          <w:rStyle w:val="Voetnootmarkering"/>
        </w:rPr>
        <w:footnoteReference w:id="13"/>
      </w:r>
      <w:r w:rsidR="00E53893">
        <w:t xml:space="preserve"> </w:t>
      </w:r>
      <w:r>
        <w:t xml:space="preserve">is gedebatteerd over de verhouding tussen deze specifieke regeling, en de algemene bepalingen over overdraagbaarheid van naburige rechten, waarbij de Belgische Staat en het ONB in essentie verdedigden dat </w:t>
      </w:r>
      <w:r w:rsidR="005122EF">
        <w:t>artikel IX.205 een lex specialis was en een uitleg voorst</w:t>
      </w:r>
      <w:r w:rsidR="0073073A">
        <w:t xml:space="preserve">onden waarin deze bepaling </w:t>
      </w:r>
      <w:r w:rsidR="000936BE">
        <w:t xml:space="preserve">een </w:t>
      </w:r>
      <w:proofErr w:type="spellStart"/>
      <w:r w:rsidR="000936BE">
        <w:rPr>
          <w:i/>
          <w:iCs/>
        </w:rPr>
        <w:t>cessio</w:t>
      </w:r>
      <w:proofErr w:type="spellEnd"/>
      <w:r w:rsidR="000936BE">
        <w:rPr>
          <w:i/>
          <w:iCs/>
        </w:rPr>
        <w:t xml:space="preserve"> legis </w:t>
      </w:r>
      <w:r w:rsidR="000936BE">
        <w:t xml:space="preserve">van rechten aan de werkgever veronderstelt. </w:t>
      </w:r>
      <w:r w:rsidR="005122EF">
        <w:t xml:space="preserve">De Belgische Raad van State oordeelde echter anders: </w:t>
      </w:r>
      <w:r w:rsidR="00803095">
        <w:t xml:space="preserve">deze bepaling laat het vereiste van wilsovereenstemming onverlet (het is dus geen </w:t>
      </w:r>
      <w:proofErr w:type="spellStart"/>
      <w:r w:rsidR="00803095">
        <w:rPr>
          <w:i/>
          <w:iCs/>
        </w:rPr>
        <w:t>cessio</w:t>
      </w:r>
      <w:proofErr w:type="spellEnd"/>
      <w:r w:rsidR="00803095">
        <w:rPr>
          <w:i/>
          <w:iCs/>
        </w:rPr>
        <w:t xml:space="preserve"> legis</w:t>
      </w:r>
      <w:r w:rsidR="00803095">
        <w:t xml:space="preserve">) maar </w:t>
      </w:r>
      <w:r w:rsidR="00D61DAD">
        <w:t xml:space="preserve">versoepelt </w:t>
      </w:r>
      <w:r w:rsidR="000F6B3D">
        <w:t xml:space="preserve">alleen </w:t>
      </w:r>
      <w:r w:rsidR="00D61DAD">
        <w:lastRenderedPageBreak/>
        <w:t>een aantal restricties uit de algemene overdracht</w:t>
      </w:r>
      <w:r w:rsidR="000936BE">
        <w:t>s</w:t>
      </w:r>
      <w:r w:rsidR="00D61DAD">
        <w:t xml:space="preserve">regeling </w:t>
      </w:r>
      <w:r w:rsidR="0009346A">
        <w:t xml:space="preserve">van artikel IX.203, </w:t>
      </w:r>
      <w:r w:rsidR="00D61DAD">
        <w:t>ten gunste van de werkgever (</w:t>
      </w:r>
      <w:r w:rsidR="002B25A1">
        <w:t>die geen exploitatieplicht heeft en ook voorheen onbekende exploitatievormen omvat)</w:t>
      </w:r>
      <w:r w:rsidR="000F6B3D">
        <w:t xml:space="preserve"> en staat collectieve regeling van de overdracht toe</w:t>
      </w:r>
      <w:r w:rsidR="001E46CC">
        <w:t xml:space="preserve"> (waarbij ook de reikwijdte van die overdracht collectief geregeld wordt)</w:t>
      </w:r>
      <w:r w:rsidR="000F6B3D">
        <w:t xml:space="preserve">, maar </w:t>
      </w:r>
      <w:r w:rsidR="001E46CC">
        <w:t>doet uiteindelijk geen</w:t>
      </w:r>
      <w:r w:rsidR="000F6B3D">
        <w:t xml:space="preserve"> afbreuk te doen aan het vereiste van wilsovereenstemming.</w:t>
      </w:r>
      <w:r w:rsidR="00064E2E">
        <w:t xml:space="preserve"> </w:t>
      </w:r>
    </w:p>
    <w:p w14:paraId="7248E0D6" w14:textId="1AC720EB" w:rsidR="000863C8" w:rsidRPr="00C6126F" w:rsidRDefault="001E46CC" w:rsidP="008F0F7C">
      <w:r>
        <w:t xml:space="preserve">Daarmee lijkt de vraag zich toe te spitsen op de </w:t>
      </w:r>
      <w:r w:rsidRPr="00FD076E">
        <w:rPr>
          <w:i/>
          <w:iCs/>
        </w:rPr>
        <w:t>verenigbaarheid van het KB</w:t>
      </w:r>
      <w:r>
        <w:t xml:space="preserve"> </w:t>
      </w:r>
      <w:r w:rsidR="00E0181F">
        <w:t xml:space="preserve">met de artikelen 18 – 23 van de DSM-richtlijn. In de vraagstelling wordt </w:t>
      </w:r>
      <w:r w:rsidR="00FD076E">
        <w:t xml:space="preserve">verder geen onderscheid gemaakt naar specifieke aspecten van die regeling. </w:t>
      </w:r>
      <w:r w:rsidR="00766C57">
        <w:t xml:space="preserve">Zo is tussen partijen óók gedebatteerd over de vraag of de DSM-richtlijn überhaupt betrekking heeft op ambtelijke arbeidsverhoudingen, nu overweging 72 van de </w:t>
      </w:r>
      <w:r w:rsidR="000E64A9">
        <w:t xml:space="preserve">DSM-richtlijn </w:t>
      </w:r>
      <w:r w:rsidR="008869F2">
        <w:t xml:space="preserve">specifiek verwijst naar “arbeidsovereenkomsten”. De Belgische Raad van State legt uit dat de eerste prejudiciële vraag in feite tweeledig is, namelijk (i) geldt de DSM-richtlijn </w:t>
      </w:r>
      <w:r w:rsidR="005202B9">
        <w:t xml:space="preserve">ook voor ambtelijke arbeidsverhoudingen en zo ja (ii) </w:t>
      </w:r>
      <w:r w:rsidR="003D7E02">
        <w:t>is het KB dan met artikel 18-23 DSM-richtlijn verenigbaar</w:t>
      </w:r>
      <w:r w:rsidR="00CC2B76">
        <w:t>?</w:t>
      </w:r>
      <w:r w:rsidR="003D7E02">
        <w:rPr>
          <w:rStyle w:val="Voetnootmarkering"/>
        </w:rPr>
        <w:footnoteReference w:id="14"/>
      </w:r>
      <w:r w:rsidR="006A7834">
        <w:t xml:space="preserve"> </w:t>
      </w:r>
      <w:r w:rsidR="000658B0">
        <w:t xml:space="preserve">In de vraagstelling is verder niet gespecificeerd ten aanzien van welke elementen </w:t>
      </w:r>
      <w:r w:rsidR="004845B8">
        <w:t>de twijfel over de verenigbaarheid met het Unierecht nu precies bestaat</w:t>
      </w:r>
      <w:r w:rsidR="00E915BB">
        <w:t>, als eenmaal aangenomen wordt dat de DSM-richtlijn</w:t>
      </w:r>
      <w:r w:rsidR="002A4C2B">
        <w:t xml:space="preserve"> ook voor</w:t>
      </w:r>
      <w:r w:rsidR="00E915BB">
        <w:t xml:space="preserve"> “ambtelijke makers”</w:t>
      </w:r>
      <w:r w:rsidR="002A4C2B">
        <w:t xml:space="preserve"> geldt</w:t>
      </w:r>
      <w:r w:rsidR="00E915BB">
        <w:t xml:space="preserve"> (wat ons op voorhand </w:t>
      </w:r>
      <w:r w:rsidR="002A4C2B">
        <w:t>wel waarschijnlijk lijkt)</w:t>
      </w:r>
      <w:r w:rsidR="004845B8">
        <w:t xml:space="preserve">. Is het de </w:t>
      </w:r>
      <w:proofErr w:type="spellStart"/>
      <w:r w:rsidR="004845B8">
        <w:rPr>
          <w:i/>
          <w:iCs/>
        </w:rPr>
        <w:t>cessio</w:t>
      </w:r>
      <w:proofErr w:type="spellEnd"/>
      <w:r w:rsidR="004845B8">
        <w:rPr>
          <w:i/>
          <w:iCs/>
        </w:rPr>
        <w:t xml:space="preserve"> legis </w:t>
      </w:r>
      <w:r w:rsidR="001D1B1F">
        <w:t xml:space="preserve">op zichzelf? </w:t>
      </w:r>
      <w:r w:rsidR="00B615FF">
        <w:t>Nu de vraagstelling</w:t>
      </w:r>
      <w:r w:rsidR="00103D88">
        <w:t xml:space="preserve"> specifiek</w:t>
      </w:r>
      <w:r w:rsidR="00B615FF">
        <w:t xml:space="preserve"> op die wettelijke overdracht is gericht, lijkt dat een logische lezing. </w:t>
      </w:r>
      <w:r w:rsidR="00C575AF">
        <w:t>D</w:t>
      </w:r>
      <w:r w:rsidR="00C2015A">
        <w:t>e artikelen 18 – 23 DSM-richtlijn</w:t>
      </w:r>
      <w:r w:rsidR="005950B7">
        <w:t xml:space="preserve"> gaan </w:t>
      </w:r>
      <w:r w:rsidR="00C575AF">
        <w:t xml:space="preserve">echter </w:t>
      </w:r>
      <w:r w:rsidR="005950B7">
        <w:t>niet over overdracht als zodanig, maar</w:t>
      </w:r>
      <w:r w:rsidR="00C2015A">
        <w:t xml:space="preserve"> </w:t>
      </w:r>
      <w:r w:rsidR="00684D9A">
        <w:t>betreffen het geharmoniseerde auteurscontractenrecht</w:t>
      </w:r>
      <w:r w:rsidR="00A65784">
        <w:t>, waarbij in dit verband met name artikel 18 inzake de billijke vergoeding het meest relevant lijkt (omdat de bestreden regeling de vergoeding immers fixeerde)</w:t>
      </w:r>
      <w:r w:rsidR="005950B7">
        <w:t xml:space="preserve">. </w:t>
      </w:r>
      <w:r w:rsidR="009B1379">
        <w:t xml:space="preserve">Zo </w:t>
      </w:r>
      <w:r w:rsidR="00C575AF">
        <w:t xml:space="preserve">gelezen </w:t>
      </w:r>
      <w:r w:rsidR="009B1379">
        <w:t>zou de twijfel</w:t>
      </w:r>
      <w:r w:rsidR="00C575AF">
        <w:t xml:space="preserve"> die de reden voor de vraag is</w:t>
      </w:r>
      <w:r w:rsidR="009B1379">
        <w:t xml:space="preserve"> dus niet zozeer de </w:t>
      </w:r>
      <w:r w:rsidR="00C575AF">
        <w:t xml:space="preserve">Unierechtelijke houdbaarheid van de </w:t>
      </w:r>
      <w:proofErr w:type="spellStart"/>
      <w:r w:rsidR="009B1379">
        <w:rPr>
          <w:i/>
          <w:iCs/>
        </w:rPr>
        <w:t>cessio</w:t>
      </w:r>
      <w:proofErr w:type="spellEnd"/>
      <w:r w:rsidR="009B1379">
        <w:rPr>
          <w:i/>
          <w:iCs/>
        </w:rPr>
        <w:t xml:space="preserve"> legis </w:t>
      </w:r>
      <w:r w:rsidR="009B1379">
        <w:t>hoeven te betreffen, maar vooral de wijze waarop in dit geval de vergoeding is geregeld (en wellicht ook de aard en omvang daarvan).</w:t>
      </w:r>
      <w:r w:rsidR="002F558A">
        <w:t xml:space="preserve"> </w:t>
      </w:r>
      <w:r w:rsidR="00103D88">
        <w:t xml:space="preserve">Wellicht is ook de gedachte dat </w:t>
      </w:r>
      <w:r w:rsidR="00C6126F">
        <w:t xml:space="preserve">de </w:t>
      </w:r>
      <w:proofErr w:type="spellStart"/>
      <w:r w:rsidR="00C6126F">
        <w:rPr>
          <w:i/>
          <w:iCs/>
        </w:rPr>
        <w:t>cessio</w:t>
      </w:r>
      <w:proofErr w:type="spellEnd"/>
      <w:r w:rsidR="00C6126F">
        <w:rPr>
          <w:i/>
          <w:iCs/>
        </w:rPr>
        <w:t xml:space="preserve"> legis </w:t>
      </w:r>
      <w:r w:rsidR="00C6126F">
        <w:t>in het KB óók overdracht (c.q. afstand) van de door de DSM-richtlijn gewaarborgde aanspraak op de billijke vergoeding zou behelzen</w:t>
      </w:r>
      <w:r w:rsidR="00BD267E">
        <w:t xml:space="preserve">. </w:t>
      </w:r>
      <w:r w:rsidR="00BC285D">
        <w:t xml:space="preserve">Sinds het arrest </w:t>
      </w:r>
      <w:proofErr w:type="spellStart"/>
      <w:r w:rsidR="00BC285D">
        <w:rPr>
          <w:i/>
          <w:iCs/>
        </w:rPr>
        <w:t>Luksan</w:t>
      </w:r>
      <w:proofErr w:type="spellEnd"/>
      <w:r w:rsidR="00BC285D">
        <w:rPr>
          <w:i/>
          <w:iCs/>
        </w:rPr>
        <w:t xml:space="preserve">/Van der Let </w:t>
      </w:r>
      <w:r w:rsidR="00BC285D">
        <w:t>uit 2012 is duidelijk dat n</w:t>
      </w:r>
      <w:r w:rsidR="00BD267E">
        <w:t>ationale regelingen die Unierechtelijk gewaarborgde vergoedingsafspraken ontnemen</w:t>
      </w:r>
      <w:r w:rsidR="00BC285D">
        <w:t xml:space="preserve"> met datzelfde Unierecht op gespannen voet staan</w:t>
      </w:r>
      <w:r w:rsidR="00AE4BF6">
        <w:t>.</w:t>
      </w:r>
      <w:r w:rsidR="00BC285D">
        <w:rPr>
          <w:rStyle w:val="Voetnootmarkering"/>
        </w:rPr>
        <w:footnoteReference w:id="15"/>
      </w:r>
      <w:r w:rsidR="00BD267E">
        <w:t xml:space="preserve"> </w:t>
      </w:r>
      <w:r w:rsidR="00C6126F">
        <w:t xml:space="preserve"> </w:t>
      </w:r>
    </w:p>
    <w:p w14:paraId="6A1D2777" w14:textId="42D774A5" w:rsidR="00702D11" w:rsidRDefault="00FF7CF7" w:rsidP="008269A0">
      <w:r>
        <w:t xml:space="preserve">Hoewel de Belgische regeling dus niet een direct equivalent in het Nederlandse recht kent, </w:t>
      </w:r>
      <w:r w:rsidR="00FB6B2B">
        <w:t>kent d</w:t>
      </w:r>
      <w:r w:rsidR="00867AA0">
        <w:t xml:space="preserve">e Nederlandse Auteurswet wél een werkgeverauteursrecht in artikel 7 </w:t>
      </w:r>
      <w:proofErr w:type="spellStart"/>
      <w:r w:rsidR="00867AA0">
        <w:t>Aw</w:t>
      </w:r>
      <w:proofErr w:type="spellEnd"/>
      <w:r w:rsidR="00FB6B2B">
        <w:t>,</w:t>
      </w:r>
      <w:r w:rsidR="00867AA0">
        <w:t xml:space="preserve"> </w:t>
      </w:r>
      <w:r w:rsidR="00FB6B2B">
        <w:t xml:space="preserve">en dat </w:t>
      </w:r>
      <w:r w:rsidR="00FC31A8">
        <w:t xml:space="preserve">zónder een </w:t>
      </w:r>
      <w:r w:rsidR="00FB6B2B">
        <w:t xml:space="preserve">expliciete </w:t>
      </w:r>
      <w:r w:rsidR="00FC31A8">
        <w:t>verplichting een vergoeding te betalen</w:t>
      </w:r>
      <w:r w:rsidR="00920D50">
        <w:t xml:space="preserve"> aan de werknemer</w:t>
      </w:r>
      <w:r w:rsidR="00FC31A8">
        <w:t>.</w:t>
      </w:r>
      <w:r w:rsidR="00C575AF">
        <w:t xml:space="preserve"> </w:t>
      </w:r>
      <w:r w:rsidR="00464B07">
        <w:t xml:space="preserve">interessant of het HvJ EU in zijn beantwoording van de Belgische vragen iets gaat zeggen dat </w:t>
      </w:r>
      <w:r w:rsidR="00920D50">
        <w:t xml:space="preserve">van betekenis zou kunnen zijn voor </w:t>
      </w:r>
      <w:r w:rsidR="00464B07">
        <w:t xml:space="preserve">het </w:t>
      </w:r>
      <w:r w:rsidR="0006204C">
        <w:t xml:space="preserve">‘fictief </w:t>
      </w:r>
      <w:proofErr w:type="spellStart"/>
      <w:r w:rsidR="0006204C">
        <w:t>makerschap</w:t>
      </w:r>
      <w:proofErr w:type="spellEnd"/>
      <w:r w:rsidR="0006204C">
        <w:t xml:space="preserve">’ en </w:t>
      </w:r>
      <w:r w:rsidR="00464B07">
        <w:t xml:space="preserve">werkgeversauteursrecht van artikel 7 Auteurswet </w:t>
      </w:r>
      <w:r w:rsidR="00FC31A8">
        <w:t>zonder</w:t>
      </w:r>
      <w:r w:rsidR="00464B07">
        <w:t xml:space="preserve"> auteurscontractenrechtelijke aanspraken op een billijke vergoeding.</w:t>
      </w:r>
      <w:r w:rsidR="00920D50">
        <w:t xml:space="preserve"> Uit het al genoemde arrest </w:t>
      </w:r>
      <w:proofErr w:type="spellStart"/>
      <w:r w:rsidR="00920D50">
        <w:t>Luksan</w:t>
      </w:r>
      <w:proofErr w:type="spellEnd"/>
      <w:r w:rsidR="00920D50">
        <w:t xml:space="preserve">/Van der Let </w:t>
      </w:r>
      <w:r w:rsidR="00E64ED8">
        <w:t xml:space="preserve">is wel afgeleid dat het werkgeversauteursrecht </w:t>
      </w:r>
      <w:r w:rsidR="00D40D05">
        <w:t>waar contractueel van kan worden afgeweken (zoals bij artikel 7 het geval is)</w:t>
      </w:r>
      <w:r w:rsidR="0046413F">
        <w:t xml:space="preserve"> nog wel geldt voor de verbodsrechten maar niet meer voor wettelijke </w:t>
      </w:r>
      <w:r w:rsidR="00F94E70">
        <w:t>vergoedings</w:t>
      </w:r>
      <w:r w:rsidR="0046413F">
        <w:t>aanspraken.</w:t>
      </w:r>
      <w:r w:rsidR="003C5FC0">
        <w:rPr>
          <w:rStyle w:val="Voetnootmarkering"/>
        </w:rPr>
        <w:footnoteReference w:id="16"/>
      </w:r>
      <w:r w:rsidR="0046413F">
        <w:t xml:space="preserve"> </w:t>
      </w:r>
    </w:p>
    <w:p w14:paraId="281AEB5B" w14:textId="77777777" w:rsidR="00702D11" w:rsidRDefault="00702D11" w:rsidP="00464B07"/>
    <w:p w14:paraId="1E59117E" w14:textId="77777777" w:rsidR="00702D11" w:rsidRDefault="00702D11" w:rsidP="00464B07"/>
    <w:p w14:paraId="77B372FF" w14:textId="0DF4AA77" w:rsidR="00464B07" w:rsidRDefault="001255F5" w:rsidP="00464B07">
      <w:r>
        <w:lastRenderedPageBreak/>
        <w:t xml:space="preserve">In de Nederlandse regeling </w:t>
      </w:r>
      <w:r w:rsidR="00005422">
        <w:t xml:space="preserve">heeft </w:t>
      </w:r>
      <w:r>
        <w:t xml:space="preserve">de werknemer </w:t>
      </w:r>
      <w:r w:rsidR="00005422">
        <w:t xml:space="preserve">wel </w:t>
      </w:r>
      <w:r w:rsidR="00E15E79">
        <w:t xml:space="preserve">weer </w:t>
      </w:r>
      <w:r w:rsidR="00005422">
        <w:t>een wettelijk recht op loon, bovendien is de</w:t>
      </w:r>
      <w:r w:rsidR="0000112B">
        <w:t xml:space="preserve"> regeling niet dwingendrechtelijk</w:t>
      </w:r>
      <w:r w:rsidR="00005422">
        <w:t xml:space="preserve"> en in zoverre dus makkelijker te ontgaan dan het Belgische KB voor de musici die er </w:t>
      </w:r>
      <w:r w:rsidR="00E15E79">
        <w:t>aan vast zitten (voor zover natuurlijk houdbaar onder het Unierecht).</w:t>
      </w:r>
      <w:r w:rsidR="00BA7B87">
        <w:t xml:space="preserve"> </w:t>
      </w:r>
      <w:r w:rsidR="0086494A">
        <w:t xml:space="preserve">Zou het HvJ EU zich uitlaten over de houdbaarheid van de (in </w:t>
      </w:r>
      <w:r w:rsidR="00B44C46">
        <w:t xml:space="preserve">het KB besloten liggende) fictie van </w:t>
      </w:r>
      <w:r w:rsidR="005F6B80">
        <w:t>overdracht aan de werkgever</w:t>
      </w:r>
      <w:r w:rsidR="0079198C">
        <w:t xml:space="preserve">, </w:t>
      </w:r>
      <w:r w:rsidR="00731DC1">
        <w:t>é</w:t>
      </w:r>
      <w:r w:rsidR="0079198C">
        <w:t xml:space="preserve">n </w:t>
      </w:r>
      <w:r w:rsidR="00731DC1">
        <w:t xml:space="preserve">zou </w:t>
      </w:r>
      <w:r w:rsidR="0079198C">
        <w:t xml:space="preserve">artikel 7 </w:t>
      </w:r>
      <w:proofErr w:type="spellStart"/>
      <w:r w:rsidR="0079198C">
        <w:t>Aw</w:t>
      </w:r>
      <w:proofErr w:type="spellEnd"/>
      <w:r w:rsidR="0079198C">
        <w:t xml:space="preserve"> ook als een fictieve overdracht uitgelegd zou moeten worden</w:t>
      </w:r>
      <w:r w:rsidR="00731DC1">
        <w:t>, dan zou</w:t>
      </w:r>
      <w:r w:rsidR="0079198C">
        <w:t xml:space="preserve"> het antwoord van het HvJ EU mogelijk toch ook voor </w:t>
      </w:r>
      <w:r w:rsidR="009C2AF4">
        <w:t xml:space="preserve">de figuur van het fictief </w:t>
      </w:r>
      <w:proofErr w:type="spellStart"/>
      <w:r w:rsidR="009C2AF4">
        <w:t>makerschap</w:t>
      </w:r>
      <w:proofErr w:type="spellEnd"/>
      <w:r w:rsidR="009C2AF4">
        <w:t xml:space="preserve"> </w:t>
      </w:r>
      <w:r w:rsidR="0079198C">
        <w:t>van belang</w:t>
      </w:r>
      <w:r w:rsidR="00731DC1">
        <w:t xml:space="preserve"> kunnen zijn</w:t>
      </w:r>
      <w:r w:rsidR="005F6B80">
        <w:t>.</w:t>
      </w:r>
      <w:r w:rsidR="00731DC1">
        <w:t xml:space="preserve"> </w:t>
      </w:r>
      <w:r w:rsidR="009C2AF4">
        <w:t xml:space="preserve">De uitkomst zou ook kunnen zijn dat </w:t>
      </w:r>
      <w:r w:rsidR="008C65A0">
        <w:t xml:space="preserve">de </w:t>
      </w:r>
      <w:r w:rsidR="009C2AF4">
        <w:t xml:space="preserve">artikel 7 </w:t>
      </w:r>
      <w:proofErr w:type="spellStart"/>
      <w:r w:rsidR="009C2AF4">
        <w:t>Aw</w:t>
      </w:r>
      <w:proofErr w:type="spellEnd"/>
      <w:r w:rsidR="009C2AF4">
        <w:t xml:space="preserve"> </w:t>
      </w:r>
      <w:r w:rsidR="008C65A0">
        <w:t>voor zover de werkgeve</w:t>
      </w:r>
      <w:r w:rsidR="007B1EBF">
        <w:t>r</w:t>
      </w:r>
      <w:r w:rsidR="008C65A0">
        <w:t xml:space="preserve"> de verbodsrechten</w:t>
      </w:r>
      <w:r w:rsidR="007B1EBF">
        <w:t xml:space="preserve"> krijgt</w:t>
      </w:r>
      <w:r w:rsidR="008C65A0">
        <w:t xml:space="preserve"> </w:t>
      </w:r>
      <w:r w:rsidR="009C2AF4">
        <w:t>niet geraakt wordt maar de werknemer voor wie de bepaling geldt wel een aanspraak op de billijke vergoeding zou toekomen</w:t>
      </w:r>
      <w:r w:rsidR="007B1EBF">
        <w:t xml:space="preserve"> (waarbij volgende vraag dan is of die niet al voldoende is gedekt zijn arbeidsrechtelijke aanspraken op loon</w:t>
      </w:r>
      <w:r w:rsidR="00C56D99">
        <w:t>)</w:t>
      </w:r>
      <w:r w:rsidR="009C2AF4">
        <w:t>.</w:t>
      </w:r>
    </w:p>
    <w:p w14:paraId="0BFD9ABB" w14:textId="695E5B2F" w:rsidR="00464B07" w:rsidRDefault="00464B07" w:rsidP="00464B07">
      <w:r>
        <w:t>De nabuurrechtelijke werkgeversbepaling in artikel 3 WNR</w:t>
      </w:r>
      <w:r w:rsidR="001C5E98">
        <w:t xml:space="preserve"> lijkt voorshands niet geraakt te worden </w:t>
      </w:r>
      <w:r>
        <w:t>:</w:t>
      </w:r>
    </w:p>
    <w:p w14:paraId="1BF128D2" w14:textId="4E99CF6C" w:rsidR="00464B07" w:rsidRDefault="00464B07" w:rsidP="0006204C">
      <w:pPr>
        <w:ind w:left="708"/>
      </w:pPr>
      <w:r>
        <w:t>“</w:t>
      </w:r>
      <w:r w:rsidRPr="00464B07">
        <w:t>De werkgever is bevoegd de rechten van de uitvoerende kunstenaar, bedoeld in artikel 2, te exploiteren, voor zover dit tussen partijen is overeengekomen dan wel voortvloeit uit de aard van de tussen hen gesloten arbeidsovereenkomst, de gewoonte of de eisen van redelijkheid en billijkheid. Tenzij anders is overeengekomen of uit de aard van de overeenkomst, de gewoonte of de eisen van redelijkheid en billijkheid anders voortvloeit, is de werkgever aan de uitvoerende kunstenaar of zijn rechtverkrijgende een billijke vergoeding verschuldigd voor iedere vorm van exploitatie van diens rechten. De werkgever eerbiedigt de in artikel 5 bedoelde rechten van de uitvoerende kunstenaar</w:t>
      </w:r>
      <w:r>
        <w:t>”</w:t>
      </w:r>
      <w:r w:rsidRPr="00464B07">
        <w:t>.</w:t>
      </w:r>
    </w:p>
    <w:p w14:paraId="7768F0B9" w14:textId="06B5486E" w:rsidR="00464B07" w:rsidRDefault="0016151D" w:rsidP="00464B07">
      <w:r>
        <w:t>De</w:t>
      </w:r>
      <w:r w:rsidR="001C5E98">
        <w:t>ze</w:t>
      </w:r>
      <w:r>
        <w:t xml:space="preserve"> regeling </w:t>
      </w:r>
      <w:r w:rsidR="00EE544B">
        <w:t>poneert alleen een (niet-exclusief?) gebruiksrecht</w:t>
      </w:r>
      <w:r w:rsidR="001C5E98">
        <w:t xml:space="preserve"> en geen </w:t>
      </w:r>
      <w:proofErr w:type="spellStart"/>
      <w:r w:rsidR="001C5E98">
        <w:rPr>
          <w:i/>
          <w:iCs/>
        </w:rPr>
        <w:t>cessio</w:t>
      </w:r>
      <w:proofErr w:type="spellEnd"/>
      <w:r w:rsidR="001C5E98">
        <w:rPr>
          <w:i/>
          <w:iCs/>
        </w:rPr>
        <w:t xml:space="preserve"> legis</w:t>
      </w:r>
      <w:r w:rsidR="001C5E98">
        <w:t>,</w:t>
      </w:r>
      <w:r w:rsidR="00EE544B">
        <w:t xml:space="preserve"> </w:t>
      </w:r>
      <w:r>
        <w:t>en kent bovendien wel een aanspraak op een billijke vergoeding</w:t>
      </w:r>
      <w:r w:rsidR="001C5E98">
        <w:t xml:space="preserve"> aan de </w:t>
      </w:r>
      <w:r w:rsidR="009C7C05">
        <w:t>rechthebbende werknemer toe</w:t>
      </w:r>
      <w:r>
        <w:t>, zij het met de nodige slagen om de arm</w:t>
      </w:r>
      <w:r w:rsidR="009C7C05">
        <w:t>.</w:t>
      </w:r>
      <w:r>
        <w:t xml:space="preserve"> </w:t>
      </w:r>
    </w:p>
    <w:p w14:paraId="3925AC01" w14:textId="46E4F69B" w:rsidR="0006204C" w:rsidRDefault="0006204C" w:rsidP="00464B07">
      <w:r>
        <w:t>Het is denkbaar dat het HvJ EU oordeelt dat ook auteurs en uitvoer</w:t>
      </w:r>
      <w:r w:rsidR="00127D8A">
        <w:t>en</w:t>
      </w:r>
      <w:r>
        <w:t>de kunstenaars in dienstbetrekking recht hebben op een ‘</w:t>
      </w:r>
      <w:r w:rsidRPr="0006204C">
        <w:t>passende en evenredige vergoeding</w:t>
      </w:r>
      <w:r>
        <w:t xml:space="preserve">’ </w:t>
      </w:r>
      <w:r w:rsidRPr="0006204C">
        <w:t>voor de exploitatie van hun werken of andere materialen</w:t>
      </w:r>
      <w:r>
        <w:t>, bijvoorbeeld wanneer die onvoldoende is verdisconteerd in hun salaris</w:t>
      </w:r>
      <w:r w:rsidR="00093402">
        <w:t xml:space="preserve">, zonder dat dit het fictief </w:t>
      </w:r>
      <w:proofErr w:type="spellStart"/>
      <w:r w:rsidR="00093402">
        <w:t>makerschap</w:t>
      </w:r>
      <w:proofErr w:type="spellEnd"/>
      <w:r w:rsidR="00093402">
        <w:t xml:space="preserve"> </w:t>
      </w:r>
      <w:r w:rsidR="003D7A19">
        <w:t>(of een werkgeversgebruiksrecht) als zodanig ter discussie stelt</w:t>
      </w:r>
      <w:r>
        <w:t xml:space="preserve">. </w:t>
      </w:r>
    </w:p>
    <w:p w14:paraId="4DBE97EC" w14:textId="6F7A6EC9" w:rsidR="0006204C" w:rsidRDefault="0006204C" w:rsidP="00464B07">
      <w:r>
        <w:t xml:space="preserve">Dan zou aan de </w:t>
      </w:r>
      <w:r w:rsidR="00E51B49">
        <w:t>A</w:t>
      </w:r>
      <w:r>
        <w:t xml:space="preserve">uteurswet </w:t>
      </w:r>
      <w:r w:rsidR="003D7A19">
        <w:t xml:space="preserve">en de WNR </w:t>
      </w:r>
      <w:r>
        <w:t>een bepaling toegevoegd kunnen</w:t>
      </w:r>
      <w:r w:rsidR="00CB2E05">
        <w:t xml:space="preserve"> (en wellicht zelfs: moeten)</w:t>
      </w:r>
      <w:r>
        <w:t xml:space="preserve"> worden vergelijkbaar met artikel 12 lid 6 Rijksoctrooiwet:</w:t>
      </w:r>
    </w:p>
    <w:p w14:paraId="29708F9E" w14:textId="1B36A288" w:rsidR="0006204C" w:rsidRDefault="0006204C" w:rsidP="0006204C">
      <w:pPr>
        <w:ind w:left="708"/>
      </w:pPr>
      <w:r>
        <w:t>“</w:t>
      </w:r>
      <w:r w:rsidRPr="0006204C">
        <w:t>Ingeval de uitvinder niet geacht kan worden in het door hem genoten loon of de door hem genoten geldelijke toelage of in een bijzondere door hem te ontvangen uitkering vergoeding te vinden voor het gemis aan octrooi, is degene aan wie krachtens het eerste, tweede of derde lid, de aanspraak op octrooi toekomt, verplicht hem een, in verband met het geldelijke belang van de uitvinding en met de omstandigheden waaronder zij plaatshad, billijk bedrag toe te kennen.</w:t>
      </w:r>
      <w:r>
        <w:t xml:space="preserve"> </w:t>
      </w:r>
      <w:r w:rsidRPr="0006204C">
        <w:t>Een vorderingsrecht van de uitvinder krachtens dit lid vervalt na verloop van drie jaren sedert de datum waarop het octrooi is verleend.</w:t>
      </w:r>
      <w:r>
        <w:t>”</w:t>
      </w:r>
    </w:p>
    <w:p w14:paraId="1A22C21B" w14:textId="23D88C7C" w:rsidR="00A05C16" w:rsidRDefault="00624BB7" w:rsidP="00A05C16">
      <w:pPr>
        <w:rPr>
          <w:kern w:val="0"/>
          <w14:ligatures w14:val="none"/>
        </w:rPr>
      </w:pPr>
      <w:r>
        <w:rPr>
          <w:kern w:val="0"/>
          <w14:ligatures w14:val="none"/>
        </w:rPr>
        <w:t>Tot slot de</w:t>
      </w:r>
      <w:r w:rsidR="00A05C16">
        <w:rPr>
          <w:kern w:val="0"/>
          <w14:ligatures w14:val="none"/>
        </w:rPr>
        <w:t xml:space="preserve"> tweede vraag over het overgangsrecht</w:t>
      </w:r>
      <w:r w:rsidR="00A05C16">
        <w:rPr>
          <w:rStyle w:val="Voetnootmarkering"/>
          <w:kern w:val="0"/>
          <w14:ligatures w14:val="none"/>
        </w:rPr>
        <w:footnoteReference w:id="17"/>
      </w:r>
      <w:r w:rsidR="00A05C16">
        <w:rPr>
          <w:kern w:val="0"/>
          <w14:ligatures w14:val="none"/>
        </w:rPr>
        <w:t>:</w:t>
      </w:r>
    </w:p>
    <w:p w14:paraId="427D43D9" w14:textId="77777777" w:rsidR="00A05C16" w:rsidRPr="00F1590F" w:rsidRDefault="00A05C16" w:rsidP="00A05C16">
      <w:pPr>
        <w:ind w:left="708"/>
        <w:rPr>
          <w:kern w:val="0"/>
          <w14:ligatures w14:val="none"/>
        </w:rPr>
      </w:pPr>
      <w:r w:rsidRPr="00867AA0">
        <w:rPr>
          <w:i/>
          <w:iCs/>
          <w:kern w:val="0"/>
          <w14:ligatures w14:val="none"/>
        </w:rPr>
        <w:lastRenderedPageBreak/>
        <w:t xml:space="preserve">“Zo ja, moeten de begrippen </w:t>
      </w:r>
      <w:r>
        <w:rPr>
          <w:i/>
          <w:iCs/>
          <w:kern w:val="0"/>
          <w14:ligatures w14:val="none"/>
        </w:rPr>
        <w:t>“</w:t>
      </w:r>
      <w:r w:rsidRPr="00867AA0">
        <w:rPr>
          <w:i/>
          <w:iCs/>
          <w:kern w:val="0"/>
          <w14:ligatures w14:val="none"/>
        </w:rPr>
        <w:t>verrichte handelingen</w:t>
      </w:r>
      <w:r>
        <w:rPr>
          <w:i/>
          <w:iCs/>
          <w:kern w:val="0"/>
          <w14:ligatures w14:val="none"/>
        </w:rPr>
        <w:t>”</w:t>
      </w:r>
      <w:r w:rsidRPr="00867AA0">
        <w:rPr>
          <w:i/>
          <w:iCs/>
          <w:kern w:val="0"/>
          <w14:ligatures w14:val="none"/>
        </w:rPr>
        <w:t xml:space="preserve"> en </w:t>
      </w:r>
      <w:r>
        <w:rPr>
          <w:i/>
          <w:iCs/>
          <w:kern w:val="0"/>
          <w14:ligatures w14:val="none"/>
        </w:rPr>
        <w:t>“</w:t>
      </w:r>
      <w:r w:rsidRPr="00867AA0">
        <w:rPr>
          <w:i/>
          <w:iCs/>
          <w:kern w:val="0"/>
          <w14:ligatures w14:val="none"/>
        </w:rPr>
        <w:t>verworven rechten</w:t>
      </w:r>
      <w:r>
        <w:rPr>
          <w:i/>
          <w:iCs/>
          <w:kern w:val="0"/>
          <w14:ligatures w14:val="none"/>
        </w:rPr>
        <w:t>”</w:t>
      </w:r>
      <w:r w:rsidRPr="00867AA0">
        <w:rPr>
          <w:i/>
          <w:iCs/>
          <w:kern w:val="0"/>
          <w14:ligatures w14:val="none"/>
        </w:rPr>
        <w:t xml:space="preserve"> in artikel 26, lid 2 </w:t>
      </w:r>
      <w:r w:rsidRPr="00A13365">
        <w:rPr>
          <w:kern w:val="0"/>
          <w14:ligatures w14:val="none"/>
        </w:rPr>
        <w:t>[DSM-richtlijn]</w:t>
      </w:r>
      <w:r w:rsidRPr="00867AA0">
        <w:rPr>
          <w:i/>
          <w:iCs/>
          <w:kern w:val="0"/>
          <w14:ligatures w14:val="none"/>
        </w:rPr>
        <w:t xml:space="preserve"> aldus worden uitgelegd dat daaronder met name valt de overdracht van naburige rechten </w:t>
      </w:r>
      <w:r>
        <w:rPr>
          <w:i/>
          <w:iCs/>
          <w:kern w:val="0"/>
          <w14:ligatures w14:val="none"/>
        </w:rPr>
        <w:t xml:space="preserve">via wetgeving </w:t>
      </w:r>
      <w:r w:rsidRPr="00867AA0">
        <w:rPr>
          <w:i/>
          <w:iCs/>
          <w:kern w:val="0"/>
          <w14:ligatures w14:val="none"/>
        </w:rPr>
        <w:t>die is vastgesteld vóór 7 juni 2021?”</w:t>
      </w:r>
      <w:r>
        <w:rPr>
          <w:rStyle w:val="Voetnootmarkering"/>
          <w:i/>
          <w:iCs/>
          <w:kern w:val="0"/>
          <w14:ligatures w14:val="none"/>
        </w:rPr>
        <w:footnoteReference w:id="18"/>
      </w:r>
    </w:p>
    <w:p w14:paraId="5AA0C4F5" w14:textId="33E9CB03" w:rsidR="00A05C16" w:rsidRPr="006C4CEF" w:rsidRDefault="004C2547" w:rsidP="00A05C16">
      <w:r>
        <w:t xml:space="preserve">De zorgvuldige lezer zal wellicht zijn opgevallen dat het Belgische KB </w:t>
      </w:r>
      <w:r w:rsidR="008D2493">
        <w:t xml:space="preserve">op 4 juni 2021 van kracht werd, ofwel </w:t>
      </w:r>
      <w:r w:rsidR="007E31D8">
        <w:t xml:space="preserve">op </w:t>
      </w:r>
      <w:r w:rsidR="008D2493">
        <w:t>de vrijdag v</w:t>
      </w:r>
      <w:r w:rsidR="007E31D8">
        <w:t>óó</w:t>
      </w:r>
      <w:r w:rsidR="008D2493">
        <w:t>r maandag 7 juni 2021, het verstrijken van de implementatietermijn van de DSM-richtlijn</w:t>
      </w:r>
      <w:r w:rsidR="007E31D8">
        <w:t>. Boos opzet, zo vermoedden de musici, met als doel de overdracht van hun rechten</w:t>
      </w:r>
      <w:r w:rsidR="00E41715">
        <w:t xml:space="preserve"> in het KB</w:t>
      </w:r>
      <w:r w:rsidR="007E31D8">
        <w:t xml:space="preserve"> nog niet voor </w:t>
      </w:r>
      <w:r w:rsidR="00EF30E6">
        <w:t xml:space="preserve">de termijn te realiseren zodat (zo vermoedden zij althans) </w:t>
      </w:r>
      <w:r w:rsidR="00E41715">
        <w:t xml:space="preserve">de DSM-richtlijn die niet meer zou kunnen raken. </w:t>
      </w:r>
      <w:r w:rsidR="00091E6A">
        <w:t xml:space="preserve">Hier zien we het verschil tussen onmiddellijke werking en terugwerkende kracht: het is één ding om </w:t>
      </w:r>
      <w:r w:rsidR="006C4CEF">
        <w:t xml:space="preserve">overdrachten krachtens </w:t>
      </w:r>
      <w:proofErr w:type="spellStart"/>
      <w:r w:rsidR="006C4CEF">
        <w:rPr>
          <w:i/>
          <w:iCs/>
        </w:rPr>
        <w:t>cessio</w:t>
      </w:r>
      <w:proofErr w:type="spellEnd"/>
      <w:r w:rsidR="006C4CEF">
        <w:rPr>
          <w:i/>
          <w:iCs/>
        </w:rPr>
        <w:t xml:space="preserve"> legis </w:t>
      </w:r>
      <w:r w:rsidR="006C4CEF">
        <w:t>vanaf 7 juni 2021 te raken, het is nog wat anders om</w:t>
      </w:r>
      <w:r w:rsidR="00E937B6">
        <w:t xml:space="preserve"> ook</w:t>
      </w:r>
      <w:r w:rsidR="006C4CEF">
        <w:t xml:space="preserve"> overdrachten</w:t>
      </w:r>
      <w:r w:rsidR="00E937B6">
        <w:t xml:space="preserve"> te raken van rechten die per 7 juni 2021 nog wel bestaan, maar die al daarvoor zijn overgedragen. </w:t>
      </w:r>
      <w:r w:rsidR="007353A1">
        <w:t>Voor zover de uitkomst van deze zaak betekenis heeft voor het Nederlandse werkgeversauteursrecht (en naburig recht), is de vraag of dit ook geldt voor werken die voor 7 juni 2021 in dienstverband zijn gecreëerd natuurlijk relevant.</w:t>
      </w:r>
    </w:p>
    <w:p w14:paraId="355E5E98" w14:textId="77777777" w:rsidR="0006204C" w:rsidRDefault="0006204C" w:rsidP="00464B07"/>
    <w:sectPr w:rsidR="000620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26C3" w14:textId="77777777" w:rsidR="00EE3FF8" w:rsidRDefault="00EE3FF8" w:rsidP="00EE3FF8">
      <w:pPr>
        <w:spacing w:after="0" w:line="240" w:lineRule="auto"/>
      </w:pPr>
      <w:r>
        <w:separator/>
      </w:r>
    </w:p>
  </w:endnote>
  <w:endnote w:type="continuationSeparator" w:id="0">
    <w:p w14:paraId="44BC172F" w14:textId="77777777" w:rsidR="00EE3FF8" w:rsidRDefault="00EE3FF8" w:rsidP="00E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0999"/>
      <w:docPartObj>
        <w:docPartGallery w:val="Page Numbers (Bottom of Page)"/>
        <w:docPartUnique/>
      </w:docPartObj>
    </w:sdtPr>
    <w:sdtEndPr/>
    <w:sdtContent>
      <w:p w14:paraId="6ACDE9E3" w14:textId="15EEE1CD" w:rsidR="0006204C" w:rsidRDefault="0006204C">
        <w:pPr>
          <w:pStyle w:val="Voettekst"/>
          <w:jc w:val="center"/>
        </w:pPr>
        <w:r>
          <w:fldChar w:fldCharType="begin"/>
        </w:r>
        <w:r>
          <w:instrText>PAGE   \* MERGEFORMAT</w:instrText>
        </w:r>
        <w:r>
          <w:fldChar w:fldCharType="separate"/>
        </w:r>
        <w:r>
          <w:t>2</w:t>
        </w:r>
        <w:r>
          <w:fldChar w:fldCharType="end"/>
        </w:r>
      </w:p>
    </w:sdtContent>
  </w:sdt>
  <w:p w14:paraId="02E8BD64" w14:textId="77777777" w:rsidR="0006204C" w:rsidRDefault="000620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F8DA" w14:textId="77777777" w:rsidR="00EE3FF8" w:rsidRDefault="00EE3FF8" w:rsidP="00EE3FF8">
      <w:pPr>
        <w:spacing w:after="0" w:line="240" w:lineRule="auto"/>
      </w:pPr>
      <w:r>
        <w:separator/>
      </w:r>
    </w:p>
  </w:footnote>
  <w:footnote w:type="continuationSeparator" w:id="0">
    <w:p w14:paraId="5474EAB1" w14:textId="77777777" w:rsidR="00EE3FF8" w:rsidRDefault="00EE3FF8" w:rsidP="00EE3FF8">
      <w:pPr>
        <w:spacing w:after="0" w:line="240" w:lineRule="auto"/>
      </w:pPr>
      <w:r>
        <w:continuationSeparator/>
      </w:r>
    </w:p>
  </w:footnote>
  <w:footnote w:id="1">
    <w:p w14:paraId="2A41ABFD" w14:textId="2F7361B0" w:rsidR="00A81076" w:rsidRPr="00A81076" w:rsidRDefault="00A81076">
      <w:pPr>
        <w:pStyle w:val="Voetnoottekst"/>
      </w:pPr>
      <w:r>
        <w:rPr>
          <w:rStyle w:val="Voetnootmarkering"/>
        </w:rPr>
        <w:footnoteRef/>
      </w:r>
      <w:r w:rsidRPr="00A81076">
        <w:t xml:space="preserve"> </w:t>
      </w:r>
      <w:r w:rsidR="005C5230">
        <w:t>A</w:t>
      </w:r>
      <w:r>
        <w:t>dvocat</w:t>
      </w:r>
      <w:r w:rsidR="00B65DB2">
        <w:t>en</w:t>
      </w:r>
      <w:r>
        <w:t xml:space="preserve"> resp. student-stagiaire in Amsterdam</w:t>
      </w:r>
      <w:r w:rsidR="005C5230">
        <w:t xml:space="preserve">, Visser is daarnaast </w:t>
      </w:r>
      <w:r w:rsidR="00BA4051">
        <w:t xml:space="preserve">hoogleraar in Leiden en </w:t>
      </w:r>
      <w:proofErr w:type="spellStart"/>
      <w:r w:rsidR="00BA4051">
        <w:t>Toepoel</w:t>
      </w:r>
      <w:proofErr w:type="spellEnd"/>
      <w:r w:rsidR="00BA4051">
        <w:t xml:space="preserve"> student aldaar.</w:t>
      </w:r>
    </w:p>
  </w:footnote>
  <w:footnote w:id="2">
    <w:p w14:paraId="2BDE8B93" w14:textId="1C4694AD" w:rsidR="00700E6D" w:rsidRPr="00726A5F" w:rsidRDefault="00700E6D">
      <w:pPr>
        <w:pStyle w:val="Voetnoottekst"/>
        <w:rPr>
          <w:lang w:val="fr-FR"/>
        </w:rPr>
      </w:pPr>
      <w:r>
        <w:rPr>
          <w:rStyle w:val="Voetnootmarkering"/>
        </w:rPr>
        <w:footnoteRef/>
      </w:r>
      <w:r w:rsidRPr="00726A5F">
        <w:rPr>
          <w:lang w:val="fr-FR"/>
        </w:rPr>
        <w:t xml:space="preserve"> </w:t>
      </w:r>
      <w:hyperlink r:id="rId1" w:anchor="xml=http://www.raadvanstate.be/apps/dtsearch/getpdf.asp?DocId=42771&amp;Index=c%3a%5csoftware%5cdtsearch%5cindex%5carrets%5ffr%5c&amp;HitCount=93&amp;hits=81+c2+6b4+1bf0+1e6b+201d+21b6+2388+24d7+2565+2571+25a6+25e4+262c+26b8+27a8+2851+28b1+28c2+2934+294c+2963+2972+29cb+29d6+29f8+2a3a+2aad+2af5+2b34+2b66+2b76+2c32+2c77+2c83+2c91+2d60+2d7a+2de4+2e45+2e62+2f00+2f10+2f2b+2f3a+2f5d+3cf0+3da0+3de7+3e03+3e40+3e7a+3e97+3efa+3f29+4020+4390+4db9+4e28+64e7+657f+686f+68c6+6a0f+6a1a+71f8+7298+79e4+79f0+80a1+85db+860c+8649+8b6c+8def+9139+92c2+9371+943c+943e+9444+9586+95d0+9686+96c9+9723+9727+9751+99ba+9a17+9b78+a2aa+a2eb+&amp;010362320232512" w:history="1">
        <w:r w:rsidRPr="00726A5F">
          <w:rPr>
            <w:rStyle w:val="Hyperlink"/>
            <w:lang w:val="fr-FR"/>
          </w:rPr>
          <w:t xml:space="preserve">L'arrêt n° 257.202 du 31 août 2023 est rectifié par l'arrêt n° 257.233 du 5 septembre 2023. </w:t>
        </w:r>
      </w:hyperlink>
      <w:r w:rsidRPr="00726A5F">
        <w:rPr>
          <w:lang w:val="fr-FR"/>
        </w:rPr>
        <w:t xml:space="preserve"> </w:t>
      </w:r>
    </w:p>
  </w:footnote>
  <w:footnote w:id="3">
    <w:p w14:paraId="0D149061" w14:textId="30C0F60E" w:rsidR="00EE3FF8" w:rsidRDefault="00EE3FF8" w:rsidP="00EE3FF8">
      <w:pPr>
        <w:spacing w:after="0"/>
      </w:pPr>
      <w:r>
        <w:rPr>
          <w:rStyle w:val="Voetnootmarkering"/>
        </w:rPr>
        <w:footnoteRef/>
      </w:r>
      <w:r>
        <w:t xml:space="preserve"> </w:t>
      </w:r>
      <w:r>
        <w:rPr>
          <w:sz w:val="20"/>
          <w:szCs w:val="20"/>
        </w:rPr>
        <w:t>Artikel 16 Grondwet luidt als volgt: “N</w:t>
      </w:r>
      <w:r w:rsidRPr="00EE3FF8">
        <w:rPr>
          <w:sz w:val="20"/>
          <w:szCs w:val="20"/>
        </w:rPr>
        <w:t>iemand kan van zijn eigendom worden ontzet dan ten algemenen nutte, in de gevallen en op de wijze bij de wet bepaald en tegen billijke en voorafgaande schadeloosstelling.</w:t>
      </w:r>
      <w:r>
        <w:rPr>
          <w:sz w:val="20"/>
          <w:szCs w:val="20"/>
        </w:rPr>
        <w:t>”</w:t>
      </w:r>
    </w:p>
  </w:footnote>
  <w:footnote w:id="4">
    <w:p w14:paraId="0F9D0E4D" w14:textId="36BC70A0" w:rsidR="00032F51" w:rsidRPr="00740DE0" w:rsidRDefault="00C5137A" w:rsidP="00032F51">
      <w:pPr>
        <w:pStyle w:val="Voetnoottekst"/>
        <w:rPr>
          <w:i/>
          <w:iCs/>
          <w:lang w:val="fr-FR"/>
        </w:rPr>
      </w:pPr>
      <w:r>
        <w:rPr>
          <w:rStyle w:val="Voetnootmarkering"/>
        </w:rPr>
        <w:footnoteRef/>
      </w:r>
      <w:r w:rsidRPr="00740DE0">
        <w:rPr>
          <w:lang w:val="fr-FR"/>
        </w:rPr>
        <w:t xml:space="preserve"> Eigen </w:t>
      </w:r>
      <w:proofErr w:type="spellStart"/>
      <w:r w:rsidRPr="00740DE0">
        <w:rPr>
          <w:lang w:val="fr-FR"/>
        </w:rPr>
        <w:t>vertaling</w:t>
      </w:r>
      <w:proofErr w:type="spellEnd"/>
      <w:r w:rsidRPr="00740DE0">
        <w:rPr>
          <w:lang w:val="fr-FR"/>
        </w:rPr>
        <w:t xml:space="preserve"> van de </w:t>
      </w:r>
      <w:proofErr w:type="spellStart"/>
      <w:r w:rsidRPr="00740DE0">
        <w:rPr>
          <w:lang w:val="fr-FR"/>
        </w:rPr>
        <w:t>Franse</w:t>
      </w:r>
      <w:proofErr w:type="spellEnd"/>
      <w:r w:rsidRPr="00740DE0">
        <w:rPr>
          <w:lang w:val="fr-FR"/>
        </w:rPr>
        <w:t xml:space="preserve"> </w:t>
      </w:r>
      <w:proofErr w:type="spellStart"/>
      <w:r w:rsidRPr="00740DE0">
        <w:rPr>
          <w:lang w:val="fr-FR"/>
        </w:rPr>
        <w:t>tekst</w:t>
      </w:r>
      <w:proofErr w:type="spellEnd"/>
      <w:r w:rsidRPr="00740DE0">
        <w:rPr>
          <w:lang w:val="fr-FR"/>
        </w:rPr>
        <w:t xml:space="preserve">: </w:t>
      </w:r>
      <w:r w:rsidR="00032F51" w:rsidRPr="00740DE0">
        <w:rPr>
          <w:lang w:val="fr-FR"/>
        </w:rPr>
        <w:t>“</w:t>
      </w:r>
      <w:r w:rsidR="00032F51" w:rsidRPr="00740DE0">
        <w:rPr>
          <w:i/>
          <w:iCs/>
          <w:lang w:val="fr-FR"/>
        </w:rPr>
        <w:t>Les articles 18 à 23 de la directive (UE) 2019/790 du Parlement européen et du Conseil du 17 avril 2019 sur le droit d’auteur et les droits voisins dans le marché unique numérique et modifiant les directives 96/9/CE et 2011/29/CE doivent-ils être interprétés comme s’opposant à la cession par la voie réglementaire des droits voisins d’agents statutaires pour les prestations réalisées dans le champ de la</w:t>
      </w:r>
    </w:p>
    <w:p w14:paraId="3AE7E2FB" w14:textId="15044688" w:rsidR="00C5137A" w:rsidRPr="00032F51" w:rsidRDefault="00032F51" w:rsidP="00032F51">
      <w:pPr>
        <w:pStyle w:val="Voetnoottekst"/>
      </w:pPr>
      <w:proofErr w:type="spellStart"/>
      <w:r w:rsidRPr="00032F51">
        <w:rPr>
          <w:i/>
          <w:iCs/>
        </w:rPr>
        <w:t>relation</w:t>
      </w:r>
      <w:proofErr w:type="spellEnd"/>
      <w:r w:rsidRPr="00032F51">
        <w:rPr>
          <w:i/>
          <w:iCs/>
        </w:rPr>
        <w:t xml:space="preserve"> de </w:t>
      </w:r>
      <w:proofErr w:type="spellStart"/>
      <w:r w:rsidRPr="00032F51">
        <w:rPr>
          <w:i/>
          <w:iCs/>
        </w:rPr>
        <w:t>travail</w:t>
      </w:r>
      <w:proofErr w:type="spellEnd"/>
      <w:r w:rsidRPr="00032F51">
        <w:rPr>
          <w:i/>
          <w:iCs/>
        </w:rPr>
        <w:t xml:space="preserve"> ?</w:t>
      </w:r>
      <w:r>
        <w:t xml:space="preserve">” Het ging hier om musici in dienst van het Belgisch Nationaal Orkest, </w:t>
      </w:r>
      <w:r w:rsidR="00B46CC5">
        <w:t xml:space="preserve">wier positie wij in Nederland die van ambtenaar (“agent statutaire”) zouden noemen. </w:t>
      </w:r>
    </w:p>
  </w:footnote>
  <w:footnote w:id="5">
    <w:p w14:paraId="28812E17" w14:textId="3A98162E" w:rsidR="00EF793F" w:rsidRDefault="00EF793F">
      <w:pPr>
        <w:pStyle w:val="Voetnoottekst"/>
      </w:pPr>
      <w:r>
        <w:rPr>
          <w:rStyle w:val="Voetnootmarkering"/>
        </w:rPr>
        <w:footnoteRef/>
      </w:r>
      <w:r>
        <w:t xml:space="preserve"> Dit is althans de aanduiding in het verwijzingsarrest. Op haar website hanteert het orkest zelf de Engelse naam </w:t>
      </w:r>
      <w:proofErr w:type="spellStart"/>
      <w:r>
        <w:t>Belgian</w:t>
      </w:r>
      <w:proofErr w:type="spellEnd"/>
      <w:r>
        <w:t xml:space="preserve"> National </w:t>
      </w:r>
      <w:proofErr w:type="spellStart"/>
      <w:r>
        <w:t>Orchestra</w:t>
      </w:r>
      <w:proofErr w:type="spellEnd"/>
      <w:r>
        <w:t xml:space="preserve">, </w:t>
      </w:r>
      <w:r w:rsidR="00114FB3">
        <w:t xml:space="preserve">en dat </w:t>
      </w:r>
      <w:r>
        <w:t>in alle taalversies</w:t>
      </w:r>
      <w:r w:rsidR="00114FB3">
        <w:t xml:space="preserve">, zie </w:t>
      </w:r>
      <w:r w:rsidR="00114FB3" w:rsidRPr="00114FB3">
        <w:t>www.nationalorchestra.be</w:t>
      </w:r>
      <w:r>
        <w:t xml:space="preserve">. </w:t>
      </w:r>
    </w:p>
  </w:footnote>
  <w:footnote w:id="6">
    <w:p w14:paraId="1240A10B" w14:textId="787764F1" w:rsidR="002E6516" w:rsidRPr="002E6516" w:rsidRDefault="002E6516">
      <w:pPr>
        <w:pStyle w:val="Voetnoottekst"/>
        <w:rPr>
          <w:b/>
          <w:bCs/>
        </w:rPr>
      </w:pPr>
      <w:r>
        <w:rPr>
          <w:rStyle w:val="Voetnootmarkering"/>
        </w:rPr>
        <w:footnoteRef/>
      </w:r>
      <w:r>
        <w:t xml:space="preserve"> </w:t>
      </w:r>
      <w:r w:rsidR="001B1FA6" w:rsidRPr="001B1FA6">
        <w:t>https://www.ejustice.just.fgov.be/mopdf/2021/06/04_2.pdf#page=2</w:t>
      </w:r>
      <w:r>
        <w:t xml:space="preserve"> </w:t>
      </w:r>
    </w:p>
  </w:footnote>
  <w:footnote w:id="7">
    <w:p w14:paraId="0AA23A8F" w14:textId="6B776F3E" w:rsidR="00C6043F" w:rsidRPr="00A81076" w:rsidRDefault="00A65E50" w:rsidP="00C6043F">
      <w:pPr>
        <w:pStyle w:val="Geenafstand"/>
        <w:rPr>
          <w:lang w:val="fr-FR"/>
        </w:rPr>
      </w:pPr>
      <w:hyperlink r:id="rId2" w:anchor="xml=http://www.raadvanstate.be/apps/dtsearch/getpdf.asp?DocId=42771&amp;Index=c%3a%5csoftware%5cdtsearch%5cindex%5carrets%5ffr%5c&amp;HitCount=93&amp;hits=81+c2+6b4+1bf0+1e6b+201d+21b6+2388+24d7+2565+2571+25a6+25e4+262c+26b8+27a8+2851+28b1+28c2+2934+294c+2963+2972+29cb+29d6+29f8+2a3a+2aad+2af5+2b34+2b66+2b76+2c32+2c77+2c83+2c91+2d60+2d7a+2de4+2e45+2e62+2f00+2f10+2f2b+2f3a+2f5d+3cf0+3da0+3de7+3e03+3e40+3e7a+3e97+3efa+3f29+4020+4390+4db9+4e28+64e7+657f+686f+68c6+6a0f+6a1a+71f8+7298+79e4+79f0+80a1+85db+860c+8649+8b6c+8def+9139+92c2+9371+943c+943e+9444+9586+95d0+9686+96c9+9723+9727+9751+99ba+9a17+9b78+a2aa+a2eb+&amp;010362320232512" w:history="1">
        <w:r w:rsidR="00C6043F" w:rsidRPr="00C84DFE">
          <w:rPr>
            <w:rStyle w:val="Hyperlink"/>
            <w:vertAlign w:val="superscript"/>
          </w:rPr>
          <w:footnoteRef/>
        </w:r>
        <w:r w:rsidR="00C6043F" w:rsidRPr="00C84DFE">
          <w:rPr>
            <w:rStyle w:val="Hyperlink"/>
          </w:rPr>
          <w:t xml:space="preserve"> </w:t>
        </w:r>
        <w:r w:rsidR="00C6043F" w:rsidRPr="00C84DFE">
          <w:rPr>
            <w:rStyle w:val="Hyperlink"/>
            <w:sz w:val="20"/>
            <w:szCs w:val="20"/>
          </w:rPr>
          <w:t xml:space="preserve">Zie artikel 16 van de </w:t>
        </w:r>
        <w:r w:rsidR="00EA021A" w:rsidRPr="00C84DFE">
          <w:rPr>
            <w:rStyle w:val="Hyperlink"/>
            <w:sz w:val="20"/>
            <w:szCs w:val="20"/>
          </w:rPr>
          <w:t>Grondwet</w:t>
        </w:r>
        <w:r w:rsidR="00C6043F" w:rsidRPr="00C84DFE">
          <w:rPr>
            <w:rStyle w:val="Hyperlink"/>
            <w:sz w:val="20"/>
            <w:szCs w:val="20"/>
          </w:rPr>
          <w:t>, artikel 7 van het Handvest van de grondrechten van de Europese Unie en artikel 1 van het eerste aanvullende protocol bij het Verdrag tot bescherming van de rechten van de mens en de fundamentele vrijheden.</w:t>
        </w:r>
        <w:r w:rsidR="001A180B" w:rsidRPr="00C84DFE">
          <w:rPr>
            <w:rStyle w:val="Hyperlink"/>
            <w:sz w:val="20"/>
            <w:szCs w:val="20"/>
          </w:rPr>
          <w:t xml:space="preserve"> </w:t>
        </w:r>
        <w:proofErr w:type="spellStart"/>
        <w:r w:rsidR="00A718C7" w:rsidRPr="00C84DFE">
          <w:rPr>
            <w:rStyle w:val="Hyperlink"/>
            <w:sz w:val="20"/>
            <w:szCs w:val="20"/>
            <w:lang w:val="fr-FR"/>
          </w:rPr>
          <w:t>Zie</w:t>
        </w:r>
        <w:proofErr w:type="spellEnd"/>
        <w:r w:rsidR="00A718C7" w:rsidRPr="00C84DFE">
          <w:rPr>
            <w:rStyle w:val="Hyperlink"/>
            <w:sz w:val="20"/>
            <w:szCs w:val="20"/>
            <w:lang w:val="fr-FR"/>
          </w:rPr>
          <w:t xml:space="preserve"> </w:t>
        </w:r>
        <w:proofErr w:type="spellStart"/>
        <w:r w:rsidR="00A718C7" w:rsidRPr="00C84DFE">
          <w:rPr>
            <w:rStyle w:val="Hyperlink"/>
            <w:sz w:val="20"/>
            <w:szCs w:val="20"/>
            <w:lang w:val="fr-FR"/>
          </w:rPr>
          <w:t>ook</w:t>
        </w:r>
        <w:proofErr w:type="spellEnd"/>
        <w:r w:rsidR="00A718C7" w:rsidRPr="00C84DFE">
          <w:rPr>
            <w:rStyle w:val="Hyperlink"/>
            <w:sz w:val="20"/>
            <w:szCs w:val="20"/>
            <w:lang w:val="fr-FR"/>
          </w:rPr>
          <w:t xml:space="preserve"> L'arrêt n° 257.202 du 31 août 2023 est rectifié par l'arrêt n° 257.233 du 5 septembre 2023, p. 52.</w:t>
        </w:r>
      </w:hyperlink>
      <w:r w:rsidR="00A718C7" w:rsidRPr="00A81076">
        <w:rPr>
          <w:sz w:val="20"/>
          <w:szCs w:val="20"/>
          <w:lang w:val="fr-FR"/>
        </w:rPr>
        <w:t xml:space="preserve"> </w:t>
      </w:r>
    </w:p>
  </w:footnote>
  <w:footnote w:id="8">
    <w:p w14:paraId="0DED45C4" w14:textId="2FA2F931" w:rsidR="008D2F77" w:rsidRDefault="008D2F77" w:rsidP="003015DB">
      <w:pPr>
        <w:spacing w:after="0"/>
      </w:pPr>
      <w:r>
        <w:rPr>
          <w:rStyle w:val="Voetnootmarkering"/>
        </w:rPr>
        <w:footnoteRef/>
      </w:r>
      <w:r>
        <w:t xml:space="preserve"> </w:t>
      </w:r>
      <w:r w:rsidRPr="003015DB">
        <w:rPr>
          <w:sz w:val="20"/>
          <w:szCs w:val="20"/>
        </w:rPr>
        <w:t xml:space="preserve">In dit kader worden genoemd </w:t>
      </w:r>
      <w:r w:rsidR="003015DB" w:rsidRPr="003015DB">
        <w:rPr>
          <w:sz w:val="20"/>
          <w:szCs w:val="20"/>
        </w:rPr>
        <w:t xml:space="preserve">de artikelen XI.203 en XI.205, § 4 van het Wetboek van economisch recht, de artikelen 10, 11, 16 en 105 van de Grondwet, het Handvest, in het bijzonder artikel 17 ervan, het EVRM, in het bijzonder artikel 1 ervan , de artikelen 10 en 249 (thans 288) VWEU en de </w:t>
      </w:r>
      <w:r w:rsidR="00B96A9F">
        <w:rPr>
          <w:sz w:val="20"/>
          <w:szCs w:val="20"/>
        </w:rPr>
        <w:t>DSM-richtlijn</w:t>
      </w:r>
      <w:r w:rsidR="003015DB" w:rsidRPr="003015DB">
        <w:rPr>
          <w:sz w:val="20"/>
          <w:szCs w:val="20"/>
        </w:rPr>
        <w:t>, met name de artikelen 18 tot en met 20 en 22 daarvan.</w:t>
      </w:r>
      <w:r w:rsidR="003015DB">
        <w:t xml:space="preserve"> </w:t>
      </w:r>
    </w:p>
  </w:footnote>
  <w:footnote w:id="9">
    <w:p w14:paraId="62C64D31" w14:textId="792CAF87" w:rsidR="006C09DE" w:rsidRPr="00A81076" w:rsidRDefault="006C09DE">
      <w:pPr>
        <w:pStyle w:val="Voetnoottekst"/>
        <w:rPr>
          <w:lang w:val="fr-FR"/>
        </w:rPr>
      </w:pPr>
      <w:r>
        <w:rPr>
          <w:rStyle w:val="Voetnootmarkering"/>
        </w:rPr>
        <w:footnoteRef/>
      </w:r>
      <w:r w:rsidRPr="00A81076">
        <w:rPr>
          <w:lang w:val="fr-FR"/>
        </w:rPr>
        <w:t xml:space="preserve"> </w:t>
      </w:r>
      <w:hyperlink r:id="rId3" w:anchor="xml=http://www.raadvanstate.be/apps/dtsearch/getpdf.asp?DocId=42771&amp;Index=c%3a%5csoftware%5cdtsearch%5cindex%5carrets%5ffr%5c&amp;HitCount=93&amp;hits=81+c2+6b4+1bf0+1e6b+201d+21b6+2388+24d7+2565+2571+25a6+25e4+262c+26b8+27a8+2851+28b1+28c2+2934+294c+2963+2972+29cb+29d6+29f8+2a3a+2aad+2af5+2b34+2b66+2b76+2c32+2c77+2c83+2c91+2d60+2d7a+2de4+2e45+2e62+2f00+2f10+2f2b+2f3a+2f5d+3cf0+3da0+3de7+3e03+3e40+3e7a+3e97+3efa+3f29+4020+4390+4db9+4e28+64e7+657f+686f+68c6+6a0f+6a1a+71f8+7298+79e4+79f0+80a1+85db+860c+8649+8b6c+8def+9139+92c2+9371+943c+943e+9444+9586+95d0+9686+96c9+9723+9727+9751+99ba+9a17+9b78+a2aa+a2eb+&amp;010362320232512" w:history="1">
        <w:r w:rsidR="00A718C7">
          <w:rPr>
            <w:rStyle w:val="Hyperlink"/>
            <w:lang w:val="fr-FR"/>
          </w:rPr>
          <w:t>L'arrêt n° 257.202 du 31 août 2023 est rectifié par l'arrêt n° 257.233 du 5 septembre 2023</w:t>
        </w:r>
      </w:hyperlink>
      <w:r w:rsidR="00A718C7">
        <w:rPr>
          <w:rStyle w:val="Hyperlink"/>
          <w:color w:val="auto"/>
          <w:u w:val="none"/>
          <w:lang w:val="fr-FR"/>
        </w:rPr>
        <w:t xml:space="preserve">, p. 84-85. </w:t>
      </w:r>
    </w:p>
  </w:footnote>
  <w:footnote w:id="10">
    <w:p w14:paraId="7076760F" w14:textId="6CF6BC81" w:rsidR="003F20DF" w:rsidRDefault="003F20DF">
      <w:pPr>
        <w:pStyle w:val="Voetnoottekst"/>
      </w:pPr>
      <w:r>
        <w:rPr>
          <w:rStyle w:val="Voetnootmarkering"/>
        </w:rPr>
        <w:footnoteRef/>
      </w:r>
      <w:r>
        <w:t xml:space="preserve"> </w:t>
      </w:r>
      <w:r w:rsidR="00E36B3C">
        <w:t xml:space="preserve">Ov. 72 </w:t>
      </w:r>
      <w:r w:rsidR="00E36B3C" w:rsidRPr="00E36B3C">
        <w:t>DSM</w:t>
      </w:r>
      <w:r w:rsidR="002A43EE">
        <w:t>-richtlijn</w:t>
      </w:r>
      <w:r w:rsidR="00E36B3C" w:rsidRPr="00E36B3C">
        <w:t>: “Auteurs en uitvoerende kunstenaars bevinden zich gewoonlijk in de zwakkere contractuele positie wanneer zij een licentie verlenen of hun rechten overdragen, ook via hun eigen onderneming, met het oog op exploitatie tegen vergoeding, en die natuurlijke personen hebben de bescherming nodig waarin deze richtlijn voorziet om ten volle te kunnen gebruikmaken van de rechten die krachtens het Unierecht zijn geharmoniseerd. Die behoefte aan bescherming doet zich niet voor wanneer de contractuele wederpartij een eindgebruiker is en het werk of de uitvoering niet zelf exploiteert, hetgeen bijvoorbeeld het geval kan zijn bij bepaalde arbeidsovereenkomsten.</w:t>
      </w:r>
      <w:r w:rsidR="00E36B3C">
        <w:t>”</w:t>
      </w:r>
    </w:p>
  </w:footnote>
  <w:footnote w:id="11">
    <w:p w14:paraId="0A27D05B" w14:textId="069FB7A0" w:rsidR="00E36B3C" w:rsidRPr="009B2B6A" w:rsidRDefault="00E36B3C">
      <w:pPr>
        <w:pStyle w:val="Voetnoottekst"/>
      </w:pPr>
      <w:r>
        <w:rPr>
          <w:rStyle w:val="Voetnootmarkering"/>
        </w:rPr>
        <w:footnoteRef/>
      </w:r>
      <w:r>
        <w:t xml:space="preserve"> </w:t>
      </w:r>
      <w:r w:rsidR="009B2B6A">
        <w:t xml:space="preserve">Ov. 73 </w:t>
      </w:r>
      <w:r w:rsidR="00B96A9F">
        <w:t>DSM-richtlijn</w:t>
      </w:r>
      <w:r w:rsidR="009B2B6A" w:rsidRPr="009B2B6A">
        <w:t>: “De vergoeding van auteurs en uitvoerende kunstenaars dient passend te zijn en in verhouding te staan tot de werkelijke of potentiële economische waarde van de in licentie gegeven of overgedragen rechten, rekening houdend met de bijdrage van de auteur of uitvoerende kunstenaar aan het geheel van het werk of het andere materiaal en met alle andere omstandigheden van het geval, zoals marktpraktijken of de werkelijke exploitatie van het werk. Een forfaitaire betaling kan ook een evenredige vergoeding vormen, maar mag niet de regel zijn. De lidstaten moeten de vrijheid hebben om, rekening houdend met de specifieke kenmerken van elke sector, specifieke gevallen te definiëren waarin een forfaitair bedrag kan worden toegepast. Het moet de lidstaten vrijstaan het beginsel van een passende en evenredige vergoeding toe te passen door middel van verschillende bestaande of nieuw ingevoerde mechanismen, waaronder collectieve onderhandelingen en andere mechanismen kunnen zijn begrepen, mits die mechanismen in overeenstemming zijn met het toepasselijke Unierecht."</w:t>
      </w:r>
    </w:p>
  </w:footnote>
  <w:footnote w:id="12">
    <w:p w14:paraId="19B5FB4B" w14:textId="09B6F66E" w:rsidR="00EE4850" w:rsidRDefault="00EE4850">
      <w:pPr>
        <w:pStyle w:val="Voetnoottekst"/>
      </w:pPr>
      <w:r>
        <w:rPr>
          <w:rStyle w:val="Voetnootmarkering"/>
        </w:rPr>
        <w:footnoteRef/>
      </w:r>
      <w:r>
        <w:t xml:space="preserve"> Ook het Wetboek van economisch recht bepaalt in artikel XI.167 dat </w:t>
      </w:r>
      <w:r w:rsidR="002A4BEC">
        <w:t>de (uit het auteursrecht voortvloeiende) vermogensrechten overdraagbaar zijn volgens de bepalingen van het Burgerlijk Wetboek</w:t>
      </w:r>
      <w:r w:rsidR="00F3676B">
        <w:t>. Voor naburige rechten is dat in artikel XI.203 van het Wetboek van economisch recht bepaald.</w:t>
      </w:r>
    </w:p>
  </w:footnote>
  <w:footnote w:id="13">
    <w:p w14:paraId="35748612" w14:textId="2E7D1BEE" w:rsidR="0009346A" w:rsidRDefault="0009346A">
      <w:pPr>
        <w:pStyle w:val="Voetnoottekst"/>
      </w:pPr>
      <w:r>
        <w:rPr>
          <w:rStyle w:val="Voetnootmarkering"/>
        </w:rPr>
        <w:footnoteRef/>
      </w:r>
      <w:r>
        <w:t xml:space="preserve"> De beslissing telt in totaal 91 pagina’s die grotendeels worden gevuld met uitvoerige samenvatting van het partijdebat.</w:t>
      </w:r>
    </w:p>
  </w:footnote>
  <w:footnote w:id="14">
    <w:p w14:paraId="540A611A" w14:textId="7D1A8553" w:rsidR="003D7E02" w:rsidRPr="00C84DFE" w:rsidRDefault="003D7E02" w:rsidP="003D7E02">
      <w:pPr>
        <w:pStyle w:val="Voetnoottekst"/>
        <w:rPr>
          <w:lang w:val="fr-FR"/>
        </w:rPr>
      </w:pPr>
      <w:r>
        <w:rPr>
          <w:rStyle w:val="Voetnootmarkering"/>
        </w:rPr>
        <w:footnoteRef/>
      </w:r>
      <w:r w:rsidRPr="00C84DFE">
        <w:rPr>
          <w:lang w:val="fr-FR"/>
        </w:rPr>
        <w:t xml:space="preserve"> </w:t>
      </w:r>
      <w:proofErr w:type="spellStart"/>
      <w:r w:rsidRPr="00C84DFE">
        <w:rPr>
          <w:lang w:val="fr-FR"/>
        </w:rPr>
        <w:t>Zie</w:t>
      </w:r>
      <w:proofErr w:type="spellEnd"/>
      <w:r w:rsidRPr="00C84DFE">
        <w:rPr>
          <w:lang w:val="fr-FR"/>
        </w:rPr>
        <w:t xml:space="preserve"> p. 85 van de </w:t>
      </w:r>
      <w:proofErr w:type="spellStart"/>
      <w:r w:rsidRPr="00C84DFE">
        <w:rPr>
          <w:lang w:val="fr-FR"/>
        </w:rPr>
        <w:t>verwijzingsbeslissing</w:t>
      </w:r>
      <w:proofErr w:type="spellEnd"/>
      <w:r w:rsidRPr="00C84DFE">
        <w:rPr>
          <w:lang w:val="fr-FR"/>
        </w:rPr>
        <w:t>: “</w:t>
      </w:r>
      <w:r w:rsidRPr="00C84DFE">
        <w:rPr>
          <w:i/>
          <w:iCs/>
          <w:lang w:val="fr-FR"/>
        </w:rPr>
        <w:t>L’argumentation des parties adverse et intervenante dans le cadre de la seconde branche du cinquième moyen et dans le cadre du sixième moyen soulève les questions de savoir si la directive (UE) 2019/790, en particulier ses articles 18 à 23, vise l’hypothèse de la cession de droits voisins dans le cadre d’une relation de travail statutaire et, dans l’affirmative, si la partie adverse était tenue au respect de ces dispositions lorsqu’elle a adopté l’acte attaqué, qui porte cession unilatérale des droits voisins des musiciens de l’ONB, au cours du délai de transposition de cette directive</w:t>
      </w:r>
      <w:r w:rsidR="006A7834" w:rsidRPr="00C84DFE">
        <w:rPr>
          <w:i/>
          <w:iCs/>
          <w:lang w:val="fr-FR"/>
        </w:rPr>
        <w:t>.</w:t>
      </w:r>
      <w:r w:rsidR="006A7834" w:rsidRPr="00C84DFE">
        <w:rPr>
          <w:lang w:val="fr-FR"/>
        </w:rPr>
        <w:t>”</w:t>
      </w:r>
    </w:p>
  </w:footnote>
  <w:footnote w:id="15">
    <w:p w14:paraId="5D587E8C" w14:textId="34427176" w:rsidR="00BC285D" w:rsidRPr="00C84DFE" w:rsidRDefault="00BC285D">
      <w:pPr>
        <w:pStyle w:val="Voetnoottekst"/>
        <w:rPr>
          <w:lang w:val="fr-FR"/>
        </w:rPr>
      </w:pPr>
      <w:r>
        <w:rPr>
          <w:rStyle w:val="Voetnootmarkering"/>
        </w:rPr>
        <w:footnoteRef/>
      </w:r>
      <w:r w:rsidRPr="00C84DFE">
        <w:rPr>
          <w:lang w:val="fr-FR"/>
        </w:rPr>
        <w:t xml:space="preserve"> </w:t>
      </w:r>
      <w:r w:rsidR="004236B6" w:rsidRPr="00C84DFE">
        <w:rPr>
          <w:lang w:val="fr-FR"/>
        </w:rPr>
        <w:t xml:space="preserve">HvJ EU 9 </w:t>
      </w:r>
      <w:proofErr w:type="spellStart"/>
      <w:r w:rsidR="004236B6" w:rsidRPr="00C84DFE">
        <w:rPr>
          <w:lang w:val="fr-FR"/>
        </w:rPr>
        <w:t>februari</w:t>
      </w:r>
      <w:proofErr w:type="spellEnd"/>
      <w:r w:rsidR="004236B6" w:rsidRPr="00C84DFE">
        <w:rPr>
          <w:lang w:val="fr-FR"/>
        </w:rPr>
        <w:t xml:space="preserve"> 2012, C-277/10, NJ 2013/196 </w:t>
      </w:r>
      <w:proofErr w:type="spellStart"/>
      <w:r w:rsidR="004236B6" w:rsidRPr="00C84DFE">
        <w:rPr>
          <w:lang w:val="fr-FR"/>
        </w:rPr>
        <w:t>m.nt</w:t>
      </w:r>
      <w:proofErr w:type="spellEnd"/>
      <w:r w:rsidR="004236B6" w:rsidRPr="00C84DFE">
        <w:rPr>
          <w:lang w:val="fr-FR"/>
        </w:rPr>
        <w:t xml:space="preserve">. P.B. </w:t>
      </w:r>
      <w:proofErr w:type="spellStart"/>
      <w:r w:rsidR="004236B6" w:rsidRPr="00C84DFE">
        <w:rPr>
          <w:lang w:val="fr-FR"/>
        </w:rPr>
        <w:t>Hugenholtz</w:t>
      </w:r>
      <w:proofErr w:type="spellEnd"/>
      <w:r w:rsidR="00AE4BF6" w:rsidRPr="00C84DFE">
        <w:rPr>
          <w:lang w:val="fr-FR"/>
        </w:rPr>
        <w:t>.</w:t>
      </w:r>
    </w:p>
  </w:footnote>
  <w:footnote w:id="16">
    <w:p w14:paraId="74DF418B" w14:textId="391C0FBC" w:rsidR="003C5FC0" w:rsidRDefault="003C5FC0">
      <w:pPr>
        <w:pStyle w:val="Voetnoottekst"/>
      </w:pPr>
      <w:r>
        <w:rPr>
          <w:rStyle w:val="Voetnootmarkering"/>
        </w:rPr>
        <w:footnoteRef/>
      </w:r>
      <w:r>
        <w:t xml:space="preserve"> Spoor, Verkade, Visser, Auteursrecht 2019, par. </w:t>
      </w:r>
      <w:r w:rsidR="003B468C">
        <w:t>14.7.</w:t>
      </w:r>
    </w:p>
  </w:footnote>
  <w:footnote w:id="17">
    <w:p w14:paraId="64B0BEC6" w14:textId="4F192ABA" w:rsidR="00A05C16" w:rsidRDefault="00A05C16" w:rsidP="00A05C16">
      <w:pPr>
        <w:pStyle w:val="Voetnoottekst"/>
      </w:pPr>
      <w:r>
        <w:rPr>
          <w:rStyle w:val="Voetnootmarkering"/>
        </w:rPr>
        <w:footnoteRef/>
      </w:r>
      <w:r>
        <w:t xml:space="preserve"> </w:t>
      </w:r>
      <w:r w:rsidRPr="00867AA0">
        <w:t xml:space="preserve">Artikel 26 </w:t>
      </w:r>
      <w:r w:rsidR="00B96A9F">
        <w:t>DSM-richtlijn</w:t>
      </w:r>
      <w:r w:rsidRPr="00867AA0">
        <w:t xml:space="preserve"> (Toepassing in de tijd): 1. Deze richtlijn is van toepassing op alle werken en andere materialen die op of na 7 juni 2021 door het nationale recht op het gebied van auteursrechten worden beschermd. 2. Deze richtlijn is van toepassing onverminderd handelingen die verricht zijn en rechten die verkregen zijn vóór 7 juni 2021.</w:t>
      </w:r>
    </w:p>
  </w:footnote>
  <w:footnote w:id="18">
    <w:p w14:paraId="6B938E9D" w14:textId="77777777" w:rsidR="00A05C16" w:rsidRPr="008F0F7C" w:rsidRDefault="00A05C16" w:rsidP="00A05C16">
      <w:pPr>
        <w:pStyle w:val="Voetnoottekst"/>
        <w:rPr>
          <w:i/>
          <w:iCs/>
          <w:lang w:val="fr-FR"/>
        </w:rPr>
      </w:pPr>
      <w:r>
        <w:rPr>
          <w:rStyle w:val="Voetnootmarkering"/>
        </w:rPr>
        <w:footnoteRef/>
      </w:r>
      <w:r w:rsidRPr="008F0F7C">
        <w:rPr>
          <w:lang w:val="fr-FR"/>
        </w:rPr>
        <w:t xml:space="preserve"> </w:t>
      </w:r>
      <w:proofErr w:type="spellStart"/>
      <w:r w:rsidRPr="008F0F7C">
        <w:rPr>
          <w:lang w:val="fr-FR"/>
        </w:rPr>
        <w:t>Originele</w:t>
      </w:r>
      <w:proofErr w:type="spellEnd"/>
      <w:r w:rsidRPr="008F0F7C">
        <w:rPr>
          <w:lang w:val="fr-FR"/>
        </w:rPr>
        <w:t xml:space="preserve"> </w:t>
      </w:r>
      <w:proofErr w:type="spellStart"/>
      <w:r w:rsidRPr="008F0F7C">
        <w:rPr>
          <w:lang w:val="fr-FR"/>
        </w:rPr>
        <w:t>tekst</w:t>
      </w:r>
      <w:proofErr w:type="spellEnd"/>
      <w:r w:rsidRPr="008F0F7C">
        <w:rPr>
          <w:lang w:val="fr-FR"/>
        </w:rPr>
        <w:t>: “</w:t>
      </w:r>
      <w:r w:rsidRPr="008F0F7C">
        <w:rPr>
          <w:i/>
          <w:iCs/>
          <w:lang w:val="fr-FR"/>
        </w:rPr>
        <w:t>Dans l’affirmative, les notions “d’actes conclus</w:t>
      </w:r>
      <w:r w:rsidRPr="008F0F7C">
        <w:rPr>
          <w:i/>
          <w:iCs/>
          <w:lang w:val="fr-FR"/>
        </w:rPr>
        <w:softHyphen/>
        <w:t xml:space="preserve"> et de “droits acquis</w:t>
      </w:r>
      <w:r w:rsidRPr="008F0F7C">
        <w:rPr>
          <w:i/>
          <w:iCs/>
          <w:lang w:val="fr-FR"/>
        </w:rPr>
        <w:softHyphen/>
        <w:t xml:space="preserve"> de l’article 26.2 de la directive (UE) 2019/790 du Parlement européen et du Conseil du 17 avril 2019 sur le droit d’auteur et les droits voisins dans le marché unique numérique et modifiant les directives 96/9/CE et 2011/29/CE doivent-elles être</w:t>
      </w:r>
    </w:p>
    <w:p w14:paraId="16D31154" w14:textId="77777777" w:rsidR="00A05C16" w:rsidRPr="008F0F7C" w:rsidRDefault="00A05C16" w:rsidP="00A05C16">
      <w:pPr>
        <w:pStyle w:val="Voetnoottekst"/>
        <w:rPr>
          <w:lang w:val="fr-FR"/>
        </w:rPr>
      </w:pPr>
      <w:r w:rsidRPr="008F0F7C">
        <w:rPr>
          <w:i/>
          <w:iCs/>
          <w:lang w:val="fr-FR"/>
        </w:rPr>
        <w:t>interprétées comme visant notamment la cession de droits voisins opérée par la voie d’un acte réglementaire adopté avant le 7 juin 2021?</w:t>
      </w:r>
      <w:r w:rsidRPr="008F0F7C">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47A39"/>
    <w:multiLevelType w:val="hybridMultilevel"/>
    <w:tmpl w:val="46B02832"/>
    <w:lvl w:ilvl="0" w:tplc="56D8F9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A654F9"/>
    <w:multiLevelType w:val="hybridMultilevel"/>
    <w:tmpl w:val="E398CA64"/>
    <w:lvl w:ilvl="0" w:tplc="377021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9382178">
    <w:abstractNumId w:val="1"/>
  </w:num>
  <w:num w:numId="2" w16cid:durableId="137700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E"/>
    <w:rsid w:val="0000112B"/>
    <w:rsid w:val="00001B89"/>
    <w:rsid w:val="00005422"/>
    <w:rsid w:val="00015766"/>
    <w:rsid w:val="00016962"/>
    <w:rsid w:val="000206B4"/>
    <w:rsid w:val="00031B92"/>
    <w:rsid w:val="00032F51"/>
    <w:rsid w:val="00052F33"/>
    <w:rsid w:val="00053C6B"/>
    <w:rsid w:val="0005547C"/>
    <w:rsid w:val="00055ABD"/>
    <w:rsid w:val="00061072"/>
    <w:rsid w:val="0006204C"/>
    <w:rsid w:val="00064E2E"/>
    <w:rsid w:val="000658B0"/>
    <w:rsid w:val="000662A8"/>
    <w:rsid w:val="00071792"/>
    <w:rsid w:val="00077E40"/>
    <w:rsid w:val="000803D4"/>
    <w:rsid w:val="000863C8"/>
    <w:rsid w:val="00091E6A"/>
    <w:rsid w:val="00093402"/>
    <w:rsid w:val="0009346A"/>
    <w:rsid w:val="000936BE"/>
    <w:rsid w:val="000A483D"/>
    <w:rsid w:val="000A4D82"/>
    <w:rsid w:val="000C5454"/>
    <w:rsid w:val="000D7C8B"/>
    <w:rsid w:val="000E64A9"/>
    <w:rsid w:val="000E7614"/>
    <w:rsid w:val="000F1018"/>
    <w:rsid w:val="000F6B3D"/>
    <w:rsid w:val="00103D88"/>
    <w:rsid w:val="001110F4"/>
    <w:rsid w:val="00111C4B"/>
    <w:rsid w:val="00114FB3"/>
    <w:rsid w:val="001255F5"/>
    <w:rsid w:val="00127D8A"/>
    <w:rsid w:val="00133AC2"/>
    <w:rsid w:val="001356EC"/>
    <w:rsid w:val="00147704"/>
    <w:rsid w:val="001521F7"/>
    <w:rsid w:val="00157825"/>
    <w:rsid w:val="0016151D"/>
    <w:rsid w:val="0016190C"/>
    <w:rsid w:val="00193F49"/>
    <w:rsid w:val="001A180B"/>
    <w:rsid w:val="001B1FA6"/>
    <w:rsid w:val="001C5E98"/>
    <w:rsid w:val="001D0E33"/>
    <w:rsid w:val="001D1B1F"/>
    <w:rsid w:val="001E145A"/>
    <w:rsid w:val="001E46CC"/>
    <w:rsid w:val="001F4530"/>
    <w:rsid w:val="00206BA8"/>
    <w:rsid w:val="002318FB"/>
    <w:rsid w:val="002428F1"/>
    <w:rsid w:val="00253E39"/>
    <w:rsid w:val="00255478"/>
    <w:rsid w:val="00264739"/>
    <w:rsid w:val="00294762"/>
    <w:rsid w:val="00294E0B"/>
    <w:rsid w:val="002A133E"/>
    <w:rsid w:val="002A43EE"/>
    <w:rsid w:val="002A4BEC"/>
    <w:rsid w:val="002A4C2B"/>
    <w:rsid w:val="002B2414"/>
    <w:rsid w:val="002B25A1"/>
    <w:rsid w:val="002B65E0"/>
    <w:rsid w:val="002C4B1D"/>
    <w:rsid w:val="002C5B48"/>
    <w:rsid w:val="002C732D"/>
    <w:rsid w:val="002D3EBC"/>
    <w:rsid w:val="002D4DA7"/>
    <w:rsid w:val="002E6516"/>
    <w:rsid w:val="002F558A"/>
    <w:rsid w:val="003015DB"/>
    <w:rsid w:val="00302566"/>
    <w:rsid w:val="003150A3"/>
    <w:rsid w:val="003167D4"/>
    <w:rsid w:val="003175F5"/>
    <w:rsid w:val="0032231F"/>
    <w:rsid w:val="003261C2"/>
    <w:rsid w:val="00333141"/>
    <w:rsid w:val="003363AC"/>
    <w:rsid w:val="0034452E"/>
    <w:rsid w:val="00351D12"/>
    <w:rsid w:val="003542FC"/>
    <w:rsid w:val="0035714A"/>
    <w:rsid w:val="00364600"/>
    <w:rsid w:val="00366BAA"/>
    <w:rsid w:val="003700A7"/>
    <w:rsid w:val="00372017"/>
    <w:rsid w:val="00377728"/>
    <w:rsid w:val="003919B0"/>
    <w:rsid w:val="003A16B9"/>
    <w:rsid w:val="003A4D15"/>
    <w:rsid w:val="003A69EB"/>
    <w:rsid w:val="003A7F13"/>
    <w:rsid w:val="003B42E2"/>
    <w:rsid w:val="003B468C"/>
    <w:rsid w:val="003C5FC0"/>
    <w:rsid w:val="003C6888"/>
    <w:rsid w:val="003D319E"/>
    <w:rsid w:val="003D7A19"/>
    <w:rsid w:val="003D7E02"/>
    <w:rsid w:val="003E53FD"/>
    <w:rsid w:val="003F20DF"/>
    <w:rsid w:val="003F3534"/>
    <w:rsid w:val="004003FA"/>
    <w:rsid w:val="00400B11"/>
    <w:rsid w:val="00403CB9"/>
    <w:rsid w:val="00423599"/>
    <w:rsid w:val="004236B6"/>
    <w:rsid w:val="004250A0"/>
    <w:rsid w:val="00436561"/>
    <w:rsid w:val="00441E45"/>
    <w:rsid w:val="00461ED6"/>
    <w:rsid w:val="0046413F"/>
    <w:rsid w:val="00464B07"/>
    <w:rsid w:val="004674B9"/>
    <w:rsid w:val="00470C91"/>
    <w:rsid w:val="00471409"/>
    <w:rsid w:val="004736D7"/>
    <w:rsid w:val="004845B8"/>
    <w:rsid w:val="004C2547"/>
    <w:rsid w:val="004C3CDF"/>
    <w:rsid w:val="004D06DC"/>
    <w:rsid w:val="004E4155"/>
    <w:rsid w:val="004F11A3"/>
    <w:rsid w:val="004F354D"/>
    <w:rsid w:val="004F5F40"/>
    <w:rsid w:val="00500F50"/>
    <w:rsid w:val="00505A43"/>
    <w:rsid w:val="005071B1"/>
    <w:rsid w:val="005122EF"/>
    <w:rsid w:val="00516EEB"/>
    <w:rsid w:val="005202B9"/>
    <w:rsid w:val="00530629"/>
    <w:rsid w:val="00554955"/>
    <w:rsid w:val="00555685"/>
    <w:rsid w:val="00557C58"/>
    <w:rsid w:val="00563625"/>
    <w:rsid w:val="005741D7"/>
    <w:rsid w:val="00593567"/>
    <w:rsid w:val="005950B7"/>
    <w:rsid w:val="005A314A"/>
    <w:rsid w:val="005A47D3"/>
    <w:rsid w:val="005B4179"/>
    <w:rsid w:val="005C5230"/>
    <w:rsid w:val="005D1D9C"/>
    <w:rsid w:val="005F6B80"/>
    <w:rsid w:val="006068B5"/>
    <w:rsid w:val="006122BF"/>
    <w:rsid w:val="00615D3E"/>
    <w:rsid w:val="00624BB7"/>
    <w:rsid w:val="00627138"/>
    <w:rsid w:val="0065415B"/>
    <w:rsid w:val="00661A8B"/>
    <w:rsid w:val="00673A8C"/>
    <w:rsid w:val="0067565B"/>
    <w:rsid w:val="00675980"/>
    <w:rsid w:val="006767D1"/>
    <w:rsid w:val="00684D9A"/>
    <w:rsid w:val="006879A3"/>
    <w:rsid w:val="006A7834"/>
    <w:rsid w:val="006C09DE"/>
    <w:rsid w:val="006C4CEF"/>
    <w:rsid w:val="006D3A12"/>
    <w:rsid w:val="006E0B6D"/>
    <w:rsid w:val="006F5A97"/>
    <w:rsid w:val="00700E6D"/>
    <w:rsid w:val="00701B60"/>
    <w:rsid w:val="00702D11"/>
    <w:rsid w:val="00715482"/>
    <w:rsid w:val="007178DD"/>
    <w:rsid w:val="00726A5F"/>
    <w:rsid w:val="00727836"/>
    <w:rsid w:val="0073073A"/>
    <w:rsid w:val="0073090E"/>
    <w:rsid w:val="00731DC1"/>
    <w:rsid w:val="007353A1"/>
    <w:rsid w:val="00740DE0"/>
    <w:rsid w:val="007447F0"/>
    <w:rsid w:val="007464C9"/>
    <w:rsid w:val="0076186B"/>
    <w:rsid w:val="0076455C"/>
    <w:rsid w:val="00766C57"/>
    <w:rsid w:val="00772360"/>
    <w:rsid w:val="007727CA"/>
    <w:rsid w:val="007778CF"/>
    <w:rsid w:val="007831AC"/>
    <w:rsid w:val="007872E1"/>
    <w:rsid w:val="0079198C"/>
    <w:rsid w:val="007A21D6"/>
    <w:rsid w:val="007B1EBF"/>
    <w:rsid w:val="007C5753"/>
    <w:rsid w:val="007D4EB6"/>
    <w:rsid w:val="007D6303"/>
    <w:rsid w:val="007E13AB"/>
    <w:rsid w:val="007E31D8"/>
    <w:rsid w:val="00801C2F"/>
    <w:rsid w:val="00803035"/>
    <w:rsid w:val="00803095"/>
    <w:rsid w:val="008117BB"/>
    <w:rsid w:val="008236FC"/>
    <w:rsid w:val="00823F97"/>
    <w:rsid w:val="008251D4"/>
    <w:rsid w:val="008260E5"/>
    <w:rsid w:val="008269A0"/>
    <w:rsid w:val="00832270"/>
    <w:rsid w:val="0083553B"/>
    <w:rsid w:val="00836E5C"/>
    <w:rsid w:val="0084154B"/>
    <w:rsid w:val="00843F77"/>
    <w:rsid w:val="008455A3"/>
    <w:rsid w:val="0086494A"/>
    <w:rsid w:val="008659C2"/>
    <w:rsid w:val="00867AA0"/>
    <w:rsid w:val="00875A8F"/>
    <w:rsid w:val="008869F2"/>
    <w:rsid w:val="008A42B7"/>
    <w:rsid w:val="008A4CC2"/>
    <w:rsid w:val="008C65A0"/>
    <w:rsid w:val="008D2493"/>
    <w:rsid w:val="008D2F77"/>
    <w:rsid w:val="008D6E68"/>
    <w:rsid w:val="008F0F7C"/>
    <w:rsid w:val="008F4466"/>
    <w:rsid w:val="0090074E"/>
    <w:rsid w:val="00905F92"/>
    <w:rsid w:val="00910C41"/>
    <w:rsid w:val="009117D9"/>
    <w:rsid w:val="00917F94"/>
    <w:rsid w:val="00920D50"/>
    <w:rsid w:val="00921AEE"/>
    <w:rsid w:val="0092436A"/>
    <w:rsid w:val="009310D0"/>
    <w:rsid w:val="00944B85"/>
    <w:rsid w:val="00944FE5"/>
    <w:rsid w:val="0095622E"/>
    <w:rsid w:val="00956A93"/>
    <w:rsid w:val="00973040"/>
    <w:rsid w:val="0097580C"/>
    <w:rsid w:val="009768E7"/>
    <w:rsid w:val="0097750C"/>
    <w:rsid w:val="009911FF"/>
    <w:rsid w:val="00994035"/>
    <w:rsid w:val="00994DCA"/>
    <w:rsid w:val="00996B51"/>
    <w:rsid w:val="009A32BE"/>
    <w:rsid w:val="009B1379"/>
    <w:rsid w:val="009B2B6A"/>
    <w:rsid w:val="009B2C9D"/>
    <w:rsid w:val="009B4588"/>
    <w:rsid w:val="009C2AF4"/>
    <w:rsid w:val="009C7C05"/>
    <w:rsid w:val="009D1FD2"/>
    <w:rsid w:val="009D3217"/>
    <w:rsid w:val="009D3CBC"/>
    <w:rsid w:val="009D4B6B"/>
    <w:rsid w:val="009F4427"/>
    <w:rsid w:val="00A05C16"/>
    <w:rsid w:val="00A07959"/>
    <w:rsid w:val="00A118E8"/>
    <w:rsid w:val="00A13365"/>
    <w:rsid w:val="00A153B8"/>
    <w:rsid w:val="00A15E0F"/>
    <w:rsid w:val="00A26CF3"/>
    <w:rsid w:val="00A30077"/>
    <w:rsid w:val="00A32B52"/>
    <w:rsid w:val="00A358AD"/>
    <w:rsid w:val="00A57A7A"/>
    <w:rsid w:val="00A631C0"/>
    <w:rsid w:val="00A63BCB"/>
    <w:rsid w:val="00A65784"/>
    <w:rsid w:val="00A65E50"/>
    <w:rsid w:val="00A67A33"/>
    <w:rsid w:val="00A718C7"/>
    <w:rsid w:val="00A81076"/>
    <w:rsid w:val="00A92C9E"/>
    <w:rsid w:val="00A979C3"/>
    <w:rsid w:val="00AA4DD5"/>
    <w:rsid w:val="00AB7E9A"/>
    <w:rsid w:val="00AD09BA"/>
    <w:rsid w:val="00AE4BF6"/>
    <w:rsid w:val="00B16CE7"/>
    <w:rsid w:val="00B174DE"/>
    <w:rsid w:val="00B24F4C"/>
    <w:rsid w:val="00B376A2"/>
    <w:rsid w:val="00B44C46"/>
    <w:rsid w:val="00B45A3E"/>
    <w:rsid w:val="00B46055"/>
    <w:rsid w:val="00B46CC5"/>
    <w:rsid w:val="00B61534"/>
    <w:rsid w:val="00B615FF"/>
    <w:rsid w:val="00B616D2"/>
    <w:rsid w:val="00B65DB2"/>
    <w:rsid w:val="00B70838"/>
    <w:rsid w:val="00B75BBC"/>
    <w:rsid w:val="00B830C3"/>
    <w:rsid w:val="00B87CEE"/>
    <w:rsid w:val="00B91E9F"/>
    <w:rsid w:val="00B96A9F"/>
    <w:rsid w:val="00B96E20"/>
    <w:rsid w:val="00BA14C3"/>
    <w:rsid w:val="00BA22A5"/>
    <w:rsid w:val="00BA4051"/>
    <w:rsid w:val="00BA4CA3"/>
    <w:rsid w:val="00BA7B87"/>
    <w:rsid w:val="00BB534F"/>
    <w:rsid w:val="00BC285D"/>
    <w:rsid w:val="00BD0BA6"/>
    <w:rsid w:val="00BD267E"/>
    <w:rsid w:val="00BD3A60"/>
    <w:rsid w:val="00BD73B0"/>
    <w:rsid w:val="00BE5128"/>
    <w:rsid w:val="00BF686B"/>
    <w:rsid w:val="00C020FD"/>
    <w:rsid w:val="00C1348A"/>
    <w:rsid w:val="00C2015A"/>
    <w:rsid w:val="00C345D5"/>
    <w:rsid w:val="00C35126"/>
    <w:rsid w:val="00C3594D"/>
    <w:rsid w:val="00C36B8B"/>
    <w:rsid w:val="00C453CB"/>
    <w:rsid w:val="00C5137A"/>
    <w:rsid w:val="00C56D99"/>
    <w:rsid w:val="00C575AF"/>
    <w:rsid w:val="00C6043F"/>
    <w:rsid w:val="00C6126F"/>
    <w:rsid w:val="00C84DFE"/>
    <w:rsid w:val="00C87E54"/>
    <w:rsid w:val="00C91D91"/>
    <w:rsid w:val="00C92865"/>
    <w:rsid w:val="00CB04D4"/>
    <w:rsid w:val="00CB2E05"/>
    <w:rsid w:val="00CC0828"/>
    <w:rsid w:val="00CC2B76"/>
    <w:rsid w:val="00CC4820"/>
    <w:rsid w:val="00CD6B20"/>
    <w:rsid w:val="00CF1D5C"/>
    <w:rsid w:val="00CF4888"/>
    <w:rsid w:val="00CF7063"/>
    <w:rsid w:val="00D157D8"/>
    <w:rsid w:val="00D23451"/>
    <w:rsid w:val="00D234F1"/>
    <w:rsid w:val="00D23D6B"/>
    <w:rsid w:val="00D40D05"/>
    <w:rsid w:val="00D42CA4"/>
    <w:rsid w:val="00D43204"/>
    <w:rsid w:val="00D45CDC"/>
    <w:rsid w:val="00D5256F"/>
    <w:rsid w:val="00D55EE5"/>
    <w:rsid w:val="00D61DAD"/>
    <w:rsid w:val="00D746F3"/>
    <w:rsid w:val="00D80934"/>
    <w:rsid w:val="00D828E5"/>
    <w:rsid w:val="00D83CB9"/>
    <w:rsid w:val="00D96954"/>
    <w:rsid w:val="00D96E70"/>
    <w:rsid w:val="00DA6274"/>
    <w:rsid w:val="00DE3207"/>
    <w:rsid w:val="00E0181F"/>
    <w:rsid w:val="00E01830"/>
    <w:rsid w:val="00E0292C"/>
    <w:rsid w:val="00E11442"/>
    <w:rsid w:val="00E117AB"/>
    <w:rsid w:val="00E13335"/>
    <w:rsid w:val="00E15285"/>
    <w:rsid w:val="00E15E79"/>
    <w:rsid w:val="00E26C95"/>
    <w:rsid w:val="00E3011D"/>
    <w:rsid w:val="00E369EA"/>
    <w:rsid w:val="00E36B3C"/>
    <w:rsid w:val="00E41715"/>
    <w:rsid w:val="00E44524"/>
    <w:rsid w:val="00E51B49"/>
    <w:rsid w:val="00E53893"/>
    <w:rsid w:val="00E53B0A"/>
    <w:rsid w:val="00E55AC3"/>
    <w:rsid w:val="00E56EB4"/>
    <w:rsid w:val="00E64ED8"/>
    <w:rsid w:val="00E6623A"/>
    <w:rsid w:val="00E722B2"/>
    <w:rsid w:val="00E82FF6"/>
    <w:rsid w:val="00E915BB"/>
    <w:rsid w:val="00E91661"/>
    <w:rsid w:val="00E937B6"/>
    <w:rsid w:val="00EA021A"/>
    <w:rsid w:val="00EA33A8"/>
    <w:rsid w:val="00EB0CBC"/>
    <w:rsid w:val="00EB6993"/>
    <w:rsid w:val="00EC3516"/>
    <w:rsid w:val="00EE3FF8"/>
    <w:rsid w:val="00EE4850"/>
    <w:rsid w:val="00EE4879"/>
    <w:rsid w:val="00EE544B"/>
    <w:rsid w:val="00EF30E6"/>
    <w:rsid w:val="00EF793F"/>
    <w:rsid w:val="00F143EA"/>
    <w:rsid w:val="00F14551"/>
    <w:rsid w:val="00F1590F"/>
    <w:rsid w:val="00F3676B"/>
    <w:rsid w:val="00F51E41"/>
    <w:rsid w:val="00F8025D"/>
    <w:rsid w:val="00F84F93"/>
    <w:rsid w:val="00F9234E"/>
    <w:rsid w:val="00F94E70"/>
    <w:rsid w:val="00FA703A"/>
    <w:rsid w:val="00FB6B2B"/>
    <w:rsid w:val="00FC31A8"/>
    <w:rsid w:val="00FC4D7F"/>
    <w:rsid w:val="00FD076E"/>
    <w:rsid w:val="00FD52A8"/>
    <w:rsid w:val="00FE075C"/>
    <w:rsid w:val="00FE1B48"/>
    <w:rsid w:val="00FF6424"/>
    <w:rsid w:val="00FF7C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EEFE"/>
  <w15:chartTrackingRefBased/>
  <w15:docId w15:val="{BC367142-C5AC-4B75-AB5A-92D72400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6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A4D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AA4D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E3FF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E3FF8"/>
    <w:rPr>
      <w:sz w:val="20"/>
      <w:szCs w:val="20"/>
    </w:rPr>
  </w:style>
  <w:style w:type="character" w:styleId="Voetnootmarkering">
    <w:name w:val="footnote reference"/>
    <w:basedOn w:val="Standaardalinea-lettertype"/>
    <w:uiPriority w:val="99"/>
    <w:semiHidden/>
    <w:unhideWhenUsed/>
    <w:rsid w:val="00EE3FF8"/>
    <w:rPr>
      <w:vertAlign w:val="superscript"/>
    </w:rPr>
  </w:style>
  <w:style w:type="character" w:customStyle="1" w:styleId="Kop1Char">
    <w:name w:val="Kop 1 Char"/>
    <w:basedOn w:val="Standaardalinea-lettertype"/>
    <w:link w:val="Kop1"/>
    <w:uiPriority w:val="9"/>
    <w:rsid w:val="00206BA8"/>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206B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6BA8"/>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700E6D"/>
    <w:rPr>
      <w:color w:val="0563C1" w:themeColor="hyperlink"/>
      <w:u w:val="single"/>
    </w:rPr>
  </w:style>
  <w:style w:type="character" w:styleId="Onopgelostemelding">
    <w:name w:val="Unresolved Mention"/>
    <w:basedOn w:val="Standaardalinea-lettertype"/>
    <w:uiPriority w:val="99"/>
    <w:semiHidden/>
    <w:unhideWhenUsed/>
    <w:rsid w:val="00700E6D"/>
    <w:rPr>
      <w:color w:val="605E5C"/>
      <w:shd w:val="clear" w:color="auto" w:fill="E1DFDD"/>
    </w:rPr>
  </w:style>
  <w:style w:type="paragraph" w:styleId="Lijstalinea">
    <w:name w:val="List Paragraph"/>
    <w:basedOn w:val="Standaard"/>
    <w:uiPriority w:val="34"/>
    <w:qFormat/>
    <w:rsid w:val="0065415B"/>
    <w:pPr>
      <w:ind w:left="720"/>
      <w:contextualSpacing/>
    </w:pPr>
  </w:style>
  <w:style w:type="character" w:customStyle="1" w:styleId="Kop2Char">
    <w:name w:val="Kop 2 Char"/>
    <w:basedOn w:val="Standaardalinea-lettertype"/>
    <w:link w:val="Kop2"/>
    <w:uiPriority w:val="9"/>
    <w:rsid w:val="00AA4DD5"/>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AA4DD5"/>
    <w:rPr>
      <w:rFonts w:asciiTheme="majorHAnsi" w:eastAsiaTheme="majorEastAsia" w:hAnsiTheme="majorHAnsi" w:cstheme="majorBidi"/>
      <w:color w:val="1F4D78" w:themeColor="accent1" w:themeShade="7F"/>
      <w:sz w:val="24"/>
      <w:szCs w:val="24"/>
    </w:rPr>
  </w:style>
  <w:style w:type="paragraph" w:styleId="Geenafstand">
    <w:name w:val="No Spacing"/>
    <w:uiPriority w:val="1"/>
    <w:qFormat/>
    <w:rsid w:val="00C6043F"/>
    <w:pPr>
      <w:spacing w:after="0" w:line="240" w:lineRule="auto"/>
    </w:pPr>
  </w:style>
  <w:style w:type="character" w:styleId="Verwijzingopmerking">
    <w:name w:val="annotation reference"/>
    <w:basedOn w:val="Standaardalinea-lettertype"/>
    <w:uiPriority w:val="99"/>
    <w:semiHidden/>
    <w:unhideWhenUsed/>
    <w:rsid w:val="009D3217"/>
    <w:rPr>
      <w:sz w:val="16"/>
      <w:szCs w:val="16"/>
    </w:rPr>
  </w:style>
  <w:style w:type="paragraph" w:styleId="Tekstopmerking">
    <w:name w:val="annotation text"/>
    <w:basedOn w:val="Standaard"/>
    <w:link w:val="TekstopmerkingChar"/>
    <w:uiPriority w:val="99"/>
    <w:unhideWhenUsed/>
    <w:rsid w:val="009D3217"/>
    <w:pPr>
      <w:spacing w:line="240" w:lineRule="auto"/>
    </w:pPr>
    <w:rPr>
      <w:sz w:val="20"/>
      <w:szCs w:val="20"/>
    </w:rPr>
  </w:style>
  <w:style w:type="character" w:customStyle="1" w:styleId="TekstopmerkingChar">
    <w:name w:val="Tekst opmerking Char"/>
    <w:basedOn w:val="Standaardalinea-lettertype"/>
    <w:link w:val="Tekstopmerking"/>
    <w:uiPriority w:val="99"/>
    <w:rsid w:val="009D3217"/>
    <w:rPr>
      <w:sz w:val="20"/>
      <w:szCs w:val="20"/>
    </w:rPr>
  </w:style>
  <w:style w:type="paragraph" w:styleId="Onderwerpvanopmerking">
    <w:name w:val="annotation subject"/>
    <w:basedOn w:val="Tekstopmerking"/>
    <w:next w:val="Tekstopmerking"/>
    <w:link w:val="OnderwerpvanopmerkingChar"/>
    <w:uiPriority w:val="99"/>
    <w:semiHidden/>
    <w:unhideWhenUsed/>
    <w:rsid w:val="009D3217"/>
    <w:rPr>
      <w:b/>
      <w:bCs/>
    </w:rPr>
  </w:style>
  <w:style w:type="character" w:customStyle="1" w:styleId="OnderwerpvanopmerkingChar">
    <w:name w:val="Onderwerp van opmerking Char"/>
    <w:basedOn w:val="TekstopmerkingChar"/>
    <w:link w:val="Onderwerpvanopmerking"/>
    <w:uiPriority w:val="99"/>
    <w:semiHidden/>
    <w:rsid w:val="009D3217"/>
    <w:rPr>
      <w:b/>
      <w:bCs/>
      <w:sz w:val="20"/>
      <w:szCs w:val="20"/>
    </w:rPr>
  </w:style>
  <w:style w:type="paragraph" w:styleId="Koptekst">
    <w:name w:val="header"/>
    <w:basedOn w:val="Standaard"/>
    <w:link w:val="KoptekstChar"/>
    <w:uiPriority w:val="99"/>
    <w:unhideWhenUsed/>
    <w:rsid w:val="000620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204C"/>
  </w:style>
  <w:style w:type="paragraph" w:styleId="Voettekst">
    <w:name w:val="footer"/>
    <w:basedOn w:val="Standaard"/>
    <w:link w:val="VoettekstChar"/>
    <w:uiPriority w:val="99"/>
    <w:unhideWhenUsed/>
    <w:rsid w:val="000620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204C"/>
  </w:style>
  <w:style w:type="paragraph" w:styleId="Revisie">
    <w:name w:val="Revision"/>
    <w:hidden/>
    <w:uiPriority w:val="99"/>
    <w:semiHidden/>
    <w:rsid w:val="000803D4"/>
    <w:pPr>
      <w:spacing w:after="0" w:line="240" w:lineRule="auto"/>
    </w:pPr>
  </w:style>
  <w:style w:type="character" w:styleId="GevolgdeHyperlink">
    <w:name w:val="FollowedHyperlink"/>
    <w:basedOn w:val="Standaardalinea-lettertype"/>
    <w:uiPriority w:val="99"/>
    <w:semiHidden/>
    <w:unhideWhenUsed/>
    <w:rsid w:val="00CF7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raadvanstate.be/Arrets/257000/200/257202dep.pdf" TargetMode="External"/><Relationship Id="rId2" Type="http://schemas.openxmlformats.org/officeDocument/2006/relationships/hyperlink" Target="http://www.raadvanstate.be/Arrets/257000/200/257202dep.pdf" TargetMode="External"/><Relationship Id="rId1" Type="http://schemas.openxmlformats.org/officeDocument/2006/relationships/hyperlink" Target="http://www.raadvanstate.be/Arrets/257000/200/257202dep.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D255-F1A8-4CE6-8808-C9C85D12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2856</Words>
  <Characters>15714</Characters>
  <Application>Microsoft Office Word</Application>
  <DocSecurity>0</DocSecurity>
  <Lines>130</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dirk visser</cp:lastModifiedBy>
  <cp:revision>2</cp:revision>
  <dcterms:created xsi:type="dcterms:W3CDTF">2023-10-26T14:25:00Z</dcterms:created>
  <dcterms:modified xsi:type="dcterms:W3CDTF">2023-10-26T14:25:00Z</dcterms:modified>
</cp:coreProperties>
</file>