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F1F7" w14:textId="7F97EC62" w:rsidR="007C7F5D" w:rsidRPr="00F449FC" w:rsidRDefault="007C7F5D">
      <w:pPr>
        <w:rPr>
          <w:b/>
          <w:bCs/>
        </w:rPr>
      </w:pPr>
      <w:r w:rsidRPr="00F449FC">
        <w:rPr>
          <w:b/>
          <w:bCs/>
        </w:rPr>
        <w:t>Leiden Law &amp; Deepfakes Questionnaire</w:t>
      </w:r>
      <w:r w:rsidR="00DD22F3" w:rsidRPr="00F449FC">
        <w:rPr>
          <w:b/>
          <w:bCs/>
        </w:rPr>
        <w:t xml:space="preserve">  [</w:t>
      </w:r>
      <w:r w:rsidR="00AF7C16" w:rsidRPr="00F449FC">
        <w:t xml:space="preserve">versie </w:t>
      </w:r>
      <w:r w:rsidR="00DD22F3" w:rsidRPr="00F449FC">
        <w:t xml:space="preserve">d.d. </w:t>
      </w:r>
      <w:r w:rsidR="00EB0599" w:rsidRPr="00F449FC">
        <w:t>6</w:t>
      </w:r>
      <w:r w:rsidR="003840B9" w:rsidRPr="00F449FC">
        <w:t xml:space="preserve"> augustus</w:t>
      </w:r>
      <w:r w:rsidR="00DD22F3" w:rsidRPr="00F449FC">
        <w:t xml:space="preserve"> 2025</w:t>
      </w:r>
      <w:r w:rsidR="00DD22F3" w:rsidRPr="00F449FC">
        <w:rPr>
          <w:b/>
          <w:bCs/>
        </w:rPr>
        <w:t>]</w:t>
      </w:r>
    </w:p>
    <w:p w14:paraId="79689C23" w14:textId="2370B791" w:rsidR="00EF6EF4" w:rsidRPr="00EF6EF4" w:rsidRDefault="00726AC0">
      <w:r>
        <w:t>[</w:t>
      </w:r>
      <w:r w:rsidR="00E04BFB">
        <w:t>Mede n</w:t>
      </w:r>
      <w:r w:rsidR="00EF6EF4" w:rsidRPr="00EF6EF4">
        <w:t>aar aanleiding van</w:t>
      </w:r>
      <w:r w:rsidR="0027201E">
        <w:t xml:space="preserve"> </w:t>
      </w:r>
      <w:r w:rsidR="00732C0C">
        <w:t xml:space="preserve">de </w:t>
      </w:r>
      <w:r w:rsidR="0027201E">
        <w:t>artikel</w:t>
      </w:r>
      <w:r w:rsidR="00732C0C">
        <w:t xml:space="preserve">en van </w:t>
      </w:r>
      <w:hyperlink r:id="rId8" w:history="1">
        <w:r w:rsidR="0027201E" w:rsidRPr="00732C0C">
          <w:rPr>
            <w:rStyle w:val="Hyperlink"/>
          </w:rPr>
          <w:t>Trouborst c.s.</w:t>
        </w:r>
      </w:hyperlink>
      <w:r w:rsidR="00732C0C">
        <w:t xml:space="preserve"> en</w:t>
      </w:r>
      <w:hyperlink r:id="rId9" w:history="1">
        <w:r w:rsidR="00732C0C">
          <w:t xml:space="preserve"> </w:t>
        </w:r>
        <w:r w:rsidR="0027201E" w:rsidRPr="00D31D6B">
          <w:rPr>
            <w:rStyle w:val="Hyperlink"/>
          </w:rPr>
          <w:t>Visser</w:t>
        </w:r>
      </w:hyperlink>
      <w:r w:rsidR="0027201E">
        <w:t xml:space="preserve">, de </w:t>
      </w:r>
      <w:hyperlink r:id="rId10" w:history="1">
        <w:r w:rsidR="00EF6EF4" w:rsidRPr="006F74F5">
          <w:rPr>
            <w:rStyle w:val="Hyperlink"/>
          </w:rPr>
          <w:t>recente Deense en Nederlandse voorstellen</w:t>
        </w:r>
      </w:hyperlink>
      <w:r w:rsidR="00BD3D0C">
        <w:t xml:space="preserve"> </w:t>
      </w:r>
      <w:r w:rsidR="00E46AF6">
        <w:t xml:space="preserve">en de reacties daarop </w:t>
      </w:r>
      <w:r w:rsidR="00381D65">
        <w:t xml:space="preserve">van </w:t>
      </w:r>
      <w:hyperlink r:id="rId11" w:history="1">
        <w:r w:rsidR="00381D65" w:rsidRPr="002C5107">
          <w:rPr>
            <w:rStyle w:val="Hyperlink"/>
          </w:rPr>
          <w:t>Hugenholtz</w:t>
        </w:r>
      </w:hyperlink>
      <w:r w:rsidR="00381D65">
        <w:t xml:space="preserve"> en </w:t>
      </w:r>
      <w:hyperlink r:id="rId12" w:history="1">
        <w:r w:rsidR="002C5107" w:rsidRPr="002C5107">
          <w:rPr>
            <w:rStyle w:val="Hyperlink"/>
          </w:rPr>
          <w:t>Valk</w:t>
        </w:r>
      </w:hyperlink>
      <w:r>
        <w:t>]</w:t>
      </w:r>
      <w:r w:rsidR="002C5107">
        <w:t>.</w:t>
      </w:r>
    </w:p>
    <w:p w14:paraId="0CF755AE" w14:textId="3EEEEFD8" w:rsidR="007C7F5D" w:rsidRPr="00E04BFB" w:rsidRDefault="007C7F5D">
      <w:pPr>
        <w:rPr>
          <w:i/>
          <w:iCs/>
        </w:rPr>
      </w:pPr>
      <w:r w:rsidRPr="00E04BFB">
        <w:rPr>
          <w:i/>
          <w:iCs/>
        </w:rPr>
        <w:t>Wat is wenselijk ten aanzien van de wetgeving met betrekking tot deepfakes?</w:t>
      </w:r>
    </w:p>
    <w:p w14:paraId="59B6E591" w14:textId="102188A3" w:rsidR="007C7F5D" w:rsidRDefault="007C7F5D">
      <w:r>
        <w:t>Onder ‘deepfakes’ wordt hier verstaan</w:t>
      </w:r>
      <w:r w:rsidR="005C25BD">
        <w:t>:</w:t>
      </w:r>
      <w:r>
        <w:t xml:space="preserve"> met behulp van AI vervaardigde nep-beelden of </w:t>
      </w:r>
      <w:r w:rsidR="00DD22F3">
        <w:t>-</w:t>
      </w:r>
      <w:r>
        <w:t xml:space="preserve">geluiden die de indruk wekken dat het gaat om echte beelden of geluiden van </w:t>
      </w:r>
      <w:r w:rsidR="00777626">
        <w:t>een</w:t>
      </w:r>
      <w:r>
        <w:t xml:space="preserve"> persoon. </w:t>
      </w:r>
      <w:r w:rsidR="005C25BD">
        <w:t>Een slotvraag</w:t>
      </w:r>
      <w:r>
        <w:t xml:space="preserve"> over de juiste definitie is onderdeel van dit questionnaire.</w:t>
      </w:r>
    </w:p>
    <w:p w14:paraId="6EB606C6" w14:textId="184AF216" w:rsidR="007C7F5D" w:rsidRDefault="007C7F5D" w:rsidP="003554C6">
      <w:pPr>
        <w:pStyle w:val="Lijstalinea"/>
        <w:numPr>
          <w:ilvl w:val="0"/>
          <w:numId w:val="3"/>
        </w:numPr>
      </w:pPr>
      <w:r>
        <w:t>Is het wenselijk dat de wetgeving ten aanzien deepfakes wordt gewijzigd?</w:t>
      </w:r>
    </w:p>
    <w:p w14:paraId="50BBB212" w14:textId="4DECE946" w:rsidR="000666A8" w:rsidRDefault="007C7F5D" w:rsidP="00962A6F">
      <w:pPr>
        <w:pStyle w:val="Lijstalinea"/>
        <w:numPr>
          <w:ilvl w:val="0"/>
          <w:numId w:val="13"/>
        </w:numPr>
      </w:pPr>
      <w:r>
        <w:t xml:space="preserve">Nee, de huidige wettelijke bescherming op grond van het portretrecht vastgelegd in art. 21 Auteurswet, </w:t>
      </w:r>
      <w:r w:rsidR="009C2F9D">
        <w:t xml:space="preserve">het naburige recht van uitvoerende kunstenaars, </w:t>
      </w:r>
      <w:r>
        <w:t>de AVG en art. 139h Sr</w:t>
      </w:r>
      <w:r w:rsidR="003618D9">
        <w:t xml:space="preserve">, </w:t>
      </w:r>
      <w:r>
        <w:t xml:space="preserve">de onrechtmatige daad (art. 6:162 BW) </w:t>
      </w:r>
      <w:r w:rsidR="009C2F9D">
        <w:t>en de transparantie</w:t>
      </w:r>
      <w:r w:rsidR="00EB0599">
        <w:t>-</w:t>
      </w:r>
      <w:r w:rsidR="009C2F9D">
        <w:t>plicht van art. 50 van de AI Act zijn</w:t>
      </w:r>
      <w:r>
        <w:t xml:space="preserve"> voldoende.</w:t>
      </w:r>
      <w:r w:rsidR="000666A8">
        <w:t xml:space="preserve"> Handhaving is het enige probleem.</w:t>
      </w:r>
    </w:p>
    <w:p w14:paraId="7DA57E67" w14:textId="3A3C6D8E" w:rsidR="007C7F5D" w:rsidRDefault="007C7F5D" w:rsidP="00962A6F">
      <w:pPr>
        <w:pStyle w:val="Lijstalinea"/>
        <w:numPr>
          <w:ilvl w:val="0"/>
          <w:numId w:val="13"/>
        </w:numPr>
      </w:pPr>
      <w:r>
        <w:t>Ja, de huidige wettelijke bescherming schiet te kort</w:t>
      </w:r>
      <w:r w:rsidR="00507216">
        <w:t>, omdat …</w:t>
      </w:r>
      <w:r w:rsidR="00093A2C">
        <w:t xml:space="preserve"> [bij</w:t>
      </w:r>
      <w:r w:rsidR="00192161">
        <w:t>v</w:t>
      </w:r>
      <w:r w:rsidR="00093A2C">
        <w:t xml:space="preserve">. Stemmen </w:t>
      </w:r>
      <w:r w:rsidR="00B12E80">
        <w:t xml:space="preserve">vallen </w:t>
      </w:r>
      <w:r w:rsidR="00093A2C">
        <w:t>niet onder het po</w:t>
      </w:r>
      <w:r w:rsidR="00192161">
        <w:t>r</w:t>
      </w:r>
      <w:r w:rsidR="00093A2C">
        <w:t>tretrecht,</w:t>
      </w:r>
      <w:r w:rsidR="00192161">
        <w:t xml:space="preserve"> bij portretrecht ‘redelijk belang vereist’, </w:t>
      </w:r>
      <w:r w:rsidR="00B12E80">
        <w:t xml:space="preserve">portretrecht na dode onduidelijk, AVG </w:t>
      </w:r>
      <w:r w:rsidR="00DC178B">
        <w:t xml:space="preserve">niet </w:t>
      </w:r>
      <w:r w:rsidR="0082602B">
        <w:t xml:space="preserve">goed </w:t>
      </w:r>
      <w:r w:rsidR="00DC178B">
        <w:t>inzetbaar tegen (beweerdelijk) artistiek of journalistiek gebruik</w:t>
      </w:r>
      <w:r w:rsidR="00DC178B" w:rsidRPr="00DC178B">
        <w:t>, AVG geldt niet na dode</w:t>
      </w:r>
      <w:r w:rsidR="00404095">
        <w:t xml:space="preserve">, </w:t>
      </w:r>
      <w:r w:rsidR="00D430D0">
        <w:t>versnippering</w:t>
      </w:r>
      <w:r w:rsidR="00404095">
        <w:t>].</w:t>
      </w:r>
    </w:p>
    <w:p w14:paraId="69B68502" w14:textId="77777777" w:rsidR="00627F3B" w:rsidRPr="00627F3B" w:rsidRDefault="00627F3B" w:rsidP="00962A6F">
      <w:pPr>
        <w:pStyle w:val="Lijstalinea"/>
        <w:numPr>
          <w:ilvl w:val="0"/>
          <w:numId w:val="13"/>
        </w:numPr>
      </w:pPr>
      <w:r w:rsidRPr="00627F3B">
        <w:t>Anders, namelijk …</w:t>
      </w:r>
    </w:p>
    <w:p w14:paraId="75127F8F" w14:textId="77777777" w:rsidR="003554C6" w:rsidRDefault="003554C6" w:rsidP="003554C6">
      <w:pPr>
        <w:pStyle w:val="Lijstalinea"/>
      </w:pPr>
    </w:p>
    <w:p w14:paraId="3D70527A" w14:textId="6DDE24FD" w:rsidR="007C7F5D" w:rsidRDefault="007C7F5D" w:rsidP="003554C6">
      <w:pPr>
        <w:pStyle w:val="Lijstalinea"/>
        <w:numPr>
          <w:ilvl w:val="0"/>
          <w:numId w:val="3"/>
        </w:numPr>
      </w:pPr>
      <w:r>
        <w:t>Welk</w:t>
      </w:r>
      <w:r w:rsidR="009C2F9D">
        <w:t>e</w:t>
      </w:r>
      <w:r>
        <w:t xml:space="preserve"> wijziging is wenselijk?</w:t>
      </w:r>
    </w:p>
    <w:p w14:paraId="4918AD36" w14:textId="23F0070A" w:rsidR="007C7F5D" w:rsidRDefault="007C7F5D" w:rsidP="00962A6F">
      <w:pPr>
        <w:pStyle w:val="Lijstalinea"/>
        <w:numPr>
          <w:ilvl w:val="0"/>
          <w:numId w:val="14"/>
        </w:numPr>
      </w:pPr>
      <w:r>
        <w:t>Het portretrecht van art. 21 Auteurswet dient te worden uitgebreid, bijvoorbeeld tot ‘persoonskenmerken’, waardoor stemmen er ook onder vallen.</w:t>
      </w:r>
      <w:r w:rsidR="009C2F9D">
        <w:t xml:space="preserve"> Verder</w:t>
      </w:r>
      <w:r w:rsidR="006D0F46">
        <w:t>e</w:t>
      </w:r>
      <w:r w:rsidR="009C2F9D">
        <w:t xml:space="preserve"> aanpassing is niet nodig en niet wenselijk.</w:t>
      </w:r>
    </w:p>
    <w:p w14:paraId="2681E760" w14:textId="3717DF47" w:rsidR="009C2F9D" w:rsidRDefault="009C2F9D" w:rsidP="00962A6F">
      <w:pPr>
        <w:pStyle w:val="Lijstalinea"/>
        <w:numPr>
          <w:ilvl w:val="0"/>
          <w:numId w:val="14"/>
        </w:numPr>
      </w:pPr>
      <w:r>
        <w:t>De AVG moet strenger worden gehandhaafd en beperkingen die aan dergelijke handhaving in de weg staan dienen te verdwijnen.</w:t>
      </w:r>
    </w:p>
    <w:p w14:paraId="11D155C8" w14:textId="541EDC1C" w:rsidR="009C2F9D" w:rsidRDefault="009C2F9D" w:rsidP="00962A6F">
      <w:pPr>
        <w:pStyle w:val="Lijstalinea"/>
        <w:numPr>
          <w:ilvl w:val="0"/>
          <w:numId w:val="14"/>
        </w:numPr>
      </w:pPr>
      <w:r>
        <w:t>Ten aanzien deepfakes dient een ander, sterker (‘absoluut’)</w:t>
      </w:r>
      <w:r w:rsidR="00DE4425">
        <w:t xml:space="preserve"> </w:t>
      </w:r>
      <w:r>
        <w:t>recht te worden geïntroduceerd.</w:t>
      </w:r>
    </w:p>
    <w:p w14:paraId="66A45887" w14:textId="452A855A" w:rsidR="00160BBB" w:rsidRDefault="00160BBB" w:rsidP="00962A6F">
      <w:pPr>
        <w:pStyle w:val="Lijstalinea"/>
        <w:numPr>
          <w:ilvl w:val="0"/>
          <w:numId w:val="14"/>
        </w:numPr>
      </w:pPr>
      <w:r>
        <w:t>Geen wijziging is wenselijk.</w:t>
      </w:r>
    </w:p>
    <w:p w14:paraId="3CCDE763" w14:textId="17853F68" w:rsidR="009C2F9D" w:rsidRDefault="009C2F9D" w:rsidP="00962A6F">
      <w:pPr>
        <w:pStyle w:val="Lijstalinea"/>
        <w:numPr>
          <w:ilvl w:val="0"/>
          <w:numId w:val="14"/>
        </w:numPr>
      </w:pPr>
      <w:bookmarkStart w:id="0" w:name="_Hlk204781107"/>
      <w:r>
        <w:t>Anders, namelijk …</w:t>
      </w:r>
    </w:p>
    <w:bookmarkEnd w:id="0"/>
    <w:p w14:paraId="1FE4F583" w14:textId="77777777" w:rsidR="00DF561D" w:rsidRDefault="00DF561D" w:rsidP="00DF561D">
      <w:pPr>
        <w:pStyle w:val="Lijstalinea"/>
      </w:pPr>
    </w:p>
    <w:p w14:paraId="3B85C361" w14:textId="62660012" w:rsidR="00DF561D" w:rsidRDefault="00DF561D" w:rsidP="00DF561D">
      <w:pPr>
        <w:pStyle w:val="Lijstalinea"/>
        <w:numPr>
          <w:ilvl w:val="0"/>
          <w:numId w:val="3"/>
        </w:numPr>
      </w:pPr>
      <w:r>
        <w:t xml:space="preserve">Voor wie dient een recht </w:t>
      </w:r>
      <w:r w:rsidRPr="00DF561D">
        <w:t>ten aanzien van deepfakes te bestaan</w:t>
      </w:r>
      <w:r>
        <w:t>?</w:t>
      </w:r>
    </w:p>
    <w:p w14:paraId="4EB915BF" w14:textId="684509C2" w:rsidR="00DF561D" w:rsidRDefault="00DF561D" w:rsidP="00962A6F">
      <w:pPr>
        <w:pStyle w:val="Lijstalinea"/>
        <w:numPr>
          <w:ilvl w:val="0"/>
          <w:numId w:val="15"/>
        </w:numPr>
      </w:pPr>
      <w:r>
        <w:t>Mensen met een ‘verzilverbare populariteit’ (BN’ers)</w:t>
      </w:r>
      <w:r w:rsidR="00DD22F3">
        <w:t>.</w:t>
      </w:r>
    </w:p>
    <w:p w14:paraId="3CCDE8BF" w14:textId="14316FF2" w:rsidR="00DF561D" w:rsidRDefault="00160BBB" w:rsidP="00962A6F">
      <w:pPr>
        <w:pStyle w:val="Lijstalinea"/>
        <w:numPr>
          <w:ilvl w:val="0"/>
          <w:numId w:val="15"/>
        </w:numPr>
      </w:pPr>
      <w:r>
        <w:t>Alleen p</w:t>
      </w:r>
      <w:r w:rsidR="00DF561D">
        <w:t>rofessionele uitvoerende kunstenaars (</w:t>
      </w:r>
      <w:r>
        <w:t xml:space="preserve">bijvoorbeeld </w:t>
      </w:r>
      <w:r w:rsidR="00DF561D">
        <w:t>acteurs, artiesten en musici)</w:t>
      </w:r>
      <w:r>
        <w:t>.</w:t>
      </w:r>
    </w:p>
    <w:p w14:paraId="710E451B" w14:textId="026240CC" w:rsidR="00DF561D" w:rsidRDefault="00DF561D" w:rsidP="00962A6F">
      <w:pPr>
        <w:pStyle w:val="Lijstalinea"/>
        <w:numPr>
          <w:ilvl w:val="0"/>
          <w:numId w:val="15"/>
        </w:numPr>
      </w:pPr>
      <w:r>
        <w:t xml:space="preserve">Alle </w:t>
      </w:r>
      <w:r w:rsidRPr="00DF561D">
        <w:t>uitvoerende kunstenaars</w:t>
      </w:r>
      <w:r w:rsidR="00160BBB">
        <w:t>, ongeacht of zij professionals of amateurs zijn</w:t>
      </w:r>
      <w:r w:rsidRPr="00DF561D">
        <w:t xml:space="preserve"> (acteurs, artiesten en musici)</w:t>
      </w:r>
      <w:r w:rsidR="00DD22F3">
        <w:t>.</w:t>
      </w:r>
    </w:p>
    <w:p w14:paraId="27FB569A" w14:textId="344D1F88" w:rsidR="00767A93" w:rsidRDefault="00767A93" w:rsidP="00962A6F">
      <w:pPr>
        <w:pStyle w:val="Lijstalinea"/>
        <w:numPr>
          <w:ilvl w:val="0"/>
          <w:numId w:val="15"/>
        </w:numPr>
      </w:pPr>
      <w:r>
        <w:t xml:space="preserve">Iedereen met een ‘redelijk belang’. </w:t>
      </w:r>
    </w:p>
    <w:p w14:paraId="1B424E1D" w14:textId="3DCF7C87" w:rsidR="00DF561D" w:rsidRDefault="00DF561D" w:rsidP="00962A6F">
      <w:pPr>
        <w:pStyle w:val="Lijstalinea"/>
        <w:numPr>
          <w:ilvl w:val="0"/>
          <w:numId w:val="15"/>
        </w:numPr>
      </w:pPr>
      <w:r>
        <w:t>Iedereen</w:t>
      </w:r>
      <w:r w:rsidR="00DD22F3">
        <w:t>.</w:t>
      </w:r>
    </w:p>
    <w:p w14:paraId="3E364DBB" w14:textId="77777777" w:rsidR="00627F3B" w:rsidRPr="00627F3B" w:rsidRDefault="00627F3B" w:rsidP="00962A6F">
      <w:pPr>
        <w:pStyle w:val="Lijstalinea"/>
        <w:numPr>
          <w:ilvl w:val="0"/>
          <w:numId w:val="15"/>
        </w:numPr>
      </w:pPr>
      <w:r w:rsidRPr="00627F3B">
        <w:t>Anders, namelijk …</w:t>
      </w:r>
    </w:p>
    <w:p w14:paraId="14E6FFA2" w14:textId="77777777" w:rsidR="003554C6" w:rsidRDefault="003554C6" w:rsidP="003554C6">
      <w:pPr>
        <w:pStyle w:val="Lijstalinea"/>
      </w:pPr>
    </w:p>
    <w:p w14:paraId="2ACE3DFC" w14:textId="411F3E7C" w:rsidR="009C2F9D" w:rsidRDefault="009C2F9D" w:rsidP="003554C6">
      <w:pPr>
        <w:pStyle w:val="Lijstalinea"/>
        <w:numPr>
          <w:ilvl w:val="0"/>
          <w:numId w:val="3"/>
        </w:numPr>
      </w:pPr>
      <w:r>
        <w:lastRenderedPageBreak/>
        <w:t xml:space="preserve">Dient er een recht </w:t>
      </w:r>
      <w:r w:rsidR="00374E5E">
        <w:t xml:space="preserve">ten aanzien van deepfakes </w:t>
      </w:r>
      <w:r>
        <w:t xml:space="preserve">te bestaan dat na </w:t>
      </w:r>
      <w:r w:rsidR="00374E5E">
        <w:t xml:space="preserve">de </w:t>
      </w:r>
      <w:r>
        <w:t>dood van de betrokkene voortduurt en zo ja, hoe lang?</w:t>
      </w:r>
    </w:p>
    <w:p w14:paraId="124D1062" w14:textId="3B943C2E" w:rsidR="00374E5E" w:rsidRDefault="00374E5E" w:rsidP="00962A6F">
      <w:pPr>
        <w:pStyle w:val="Lijstalinea"/>
        <w:numPr>
          <w:ilvl w:val="0"/>
          <w:numId w:val="16"/>
        </w:numPr>
      </w:pPr>
      <w:r>
        <w:t>Nee</w:t>
      </w:r>
      <w:r w:rsidR="00DD22F3">
        <w:t>.</w:t>
      </w:r>
    </w:p>
    <w:p w14:paraId="6509ADB2" w14:textId="3FB10164" w:rsidR="00374E5E" w:rsidRDefault="00374E5E" w:rsidP="00962A6F">
      <w:pPr>
        <w:pStyle w:val="Lijstalinea"/>
        <w:numPr>
          <w:ilvl w:val="0"/>
          <w:numId w:val="16"/>
        </w:numPr>
      </w:pPr>
      <w:r>
        <w:t>Ja, namelijk 10 jaar, 20 jaar, 50 jaar, 70 jaar</w:t>
      </w:r>
      <w:r w:rsidR="00255A38">
        <w:t xml:space="preserve"> of</w:t>
      </w:r>
      <w:r>
        <w:t xml:space="preserve"> 100 jaar </w:t>
      </w:r>
      <w:r w:rsidR="00255521">
        <w:t>[</w:t>
      </w:r>
      <w:r w:rsidR="00DC7894">
        <w:t>keuze maken</w:t>
      </w:r>
      <w:r w:rsidR="00255521">
        <w:t xml:space="preserve">] </w:t>
      </w:r>
    </w:p>
    <w:p w14:paraId="1F50E9CC" w14:textId="77777777" w:rsidR="00627F3B" w:rsidRPr="00627F3B" w:rsidRDefault="00627F3B" w:rsidP="00962A6F">
      <w:pPr>
        <w:pStyle w:val="Lijstalinea"/>
        <w:numPr>
          <w:ilvl w:val="0"/>
          <w:numId w:val="16"/>
        </w:numPr>
      </w:pPr>
      <w:r w:rsidRPr="00627F3B">
        <w:t>Anders, namelijk …</w:t>
      </w:r>
    </w:p>
    <w:p w14:paraId="0FA3394A" w14:textId="77777777" w:rsidR="003554C6" w:rsidRDefault="003554C6" w:rsidP="003554C6">
      <w:pPr>
        <w:pStyle w:val="Lijstalinea"/>
      </w:pPr>
    </w:p>
    <w:p w14:paraId="0D2B6B2D" w14:textId="03D99085" w:rsidR="003554C6" w:rsidRDefault="003554C6" w:rsidP="003554C6">
      <w:pPr>
        <w:pStyle w:val="Lijstalinea"/>
        <w:numPr>
          <w:ilvl w:val="0"/>
          <w:numId w:val="3"/>
        </w:numPr>
      </w:pPr>
      <w:r>
        <w:t>Door wie dient het recht ten aanzien van deepfakes na de dood van de betrokken te kunnen worden uitgeoefend?</w:t>
      </w:r>
    </w:p>
    <w:p w14:paraId="0CBCAFFA" w14:textId="3B4A1057" w:rsidR="003554C6" w:rsidRDefault="003554C6" w:rsidP="00962A6F">
      <w:pPr>
        <w:pStyle w:val="Lijstalinea"/>
        <w:numPr>
          <w:ilvl w:val="0"/>
          <w:numId w:val="17"/>
        </w:numPr>
      </w:pPr>
      <w:r>
        <w:t>Door een bij testament aangewezen persoon.</w:t>
      </w:r>
    </w:p>
    <w:p w14:paraId="4CD1BF30" w14:textId="0DC46C87" w:rsidR="003554C6" w:rsidRDefault="003554C6" w:rsidP="00962A6F">
      <w:pPr>
        <w:pStyle w:val="Lijstalinea"/>
        <w:numPr>
          <w:ilvl w:val="0"/>
          <w:numId w:val="17"/>
        </w:numPr>
      </w:pPr>
      <w:r w:rsidRPr="003554C6">
        <w:t>Door een bij testament aangewezen persoon</w:t>
      </w:r>
      <w:r>
        <w:t xml:space="preserve"> en bij gebreke daaraan door de nabestaanden bedoeld in artikel 25a lid 1 Auteurswet (</w:t>
      </w:r>
      <w:r w:rsidRPr="003554C6">
        <w:t>de ouders, de echtgenoot of de geregistreerde partner en de kinderen</w:t>
      </w:r>
      <w:r>
        <w:t>).</w:t>
      </w:r>
    </w:p>
    <w:p w14:paraId="1EE13E4F" w14:textId="60319BFA" w:rsidR="003554C6" w:rsidRDefault="003554C6" w:rsidP="00962A6F">
      <w:pPr>
        <w:pStyle w:val="Lijstalinea"/>
        <w:numPr>
          <w:ilvl w:val="0"/>
          <w:numId w:val="17"/>
        </w:numPr>
      </w:pPr>
      <w:r w:rsidRPr="003554C6">
        <w:t>Door een bij testament aangewezen persoon en bij gebreke daaraan door de nabestaanden bedoeld in artikel 25a lid 1 Auteurswet (de ouders, de echtgenoot of de geregistreerde partner en de kinderen)</w:t>
      </w:r>
      <w:r>
        <w:t xml:space="preserve">, welke categorie dient </w:t>
      </w:r>
      <w:r w:rsidR="005E3459">
        <w:t xml:space="preserve">te </w:t>
      </w:r>
      <w:r>
        <w:t>worden uitgebreid met kleinkinderen.</w:t>
      </w:r>
    </w:p>
    <w:p w14:paraId="52C89855" w14:textId="77777777" w:rsidR="00FB5B5E" w:rsidRDefault="00FB5B5E" w:rsidP="00962A6F">
      <w:pPr>
        <w:pStyle w:val="Lijstalinea"/>
        <w:numPr>
          <w:ilvl w:val="0"/>
          <w:numId w:val="17"/>
        </w:numPr>
      </w:pPr>
      <w:r>
        <w:t>Anders, namelijk …</w:t>
      </w:r>
    </w:p>
    <w:p w14:paraId="25616A30" w14:textId="77777777" w:rsidR="00DF561D" w:rsidRDefault="00DF561D" w:rsidP="00DF561D">
      <w:pPr>
        <w:pStyle w:val="Lijstalinea"/>
      </w:pPr>
    </w:p>
    <w:p w14:paraId="478E93A0" w14:textId="2948DD81" w:rsidR="009C2F9D" w:rsidRDefault="00255521" w:rsidP="003554C6">
      <w:pPr>
        <w:pStyle w:val="Lijstalinea"/>
        <w:numPr>
          <w:ilvl w:val="0"/>
          <w:numId w:val="3"/>
        </w:numPr>
      </w:pPr>
      <w:r>
        <w:t>Dient een recht ten aanzien van deepfakes overdraagbaar te zijn?</w:t>
      </w:r>
    </w:p>
    <w:p w14:paraId="0C5004FF" w14:textId="524DA59E" w:rsidR="009C2F9D" w:rsidRDefault="00255521" w:rsidP="00962A6F">
      <w:pPr>
        <w:pStyle w:val="Lijstalinea"/>
        <w:numPr>
          <w:ilvl w:val="0"/>
          <w:numId w:val="18"/>
        </w:numPr>
      </w:pPr>
      <w:r>
        <w:t>Ja</w:t>
      </w:r>
    </w:p>
    <w:p w14:paraId="71578061" w14:textId="481861BF" w:rsidR="00255521" w:rsidRDefault="00255521" w:rsidP="00962A6F">
      <w:pPr>
        <w:pStyle w:val="Lijstalinea"/>
        <w:numPr>
          <w:ilvl w:val="0"/>
          <w:numId w:val="18"/>
        </w:numPr>
      </w:pPr>
      <w:r>
        <w:t>Nee</w:t>
      </w:r>
    </w:p>
    <w:p w14:paraId="18FAB679" w14:textId="5D6316E3" w:rsidR="00255521" w:rsidRDefault="00255521" w:rsidP="00962A6F">
      <w:pPr>
        <w:pStyle w:val="Lijstalinea"/>
        <w:numPr>
          <w:ilvl w:val="0"/>
          <w:numId w:val="18"/>
        </w:numPr>
      </w:pPr>
      <w:r>
        <w:t>Nee, maar ten aanzien van met toestemming vervaardigde deepfakes die onderdeel worden van een film of fonogram dienen de rechten wel overdraagbaar te zijn, met de begrenzingen van het dwingend rechtelijk auteursontractenrecht en het intrekkien van de toestemming op grond van de AVG.</w:t>
      </w:r>
    </w:p>
    <w:p w14:paraId="3B1AD729" w14:textId="77777777" w:rsidR="00FB5B5E" w:rsidRPr="00FB5B5E" w:rsidRDefault="00FB5B5E" w:rsidP="00962A6F">
      <w:pPr>
        <w:pStyle w:val="Lijstalinea"/>
        <w:numPr>
          <w:ilvl w:val="0"/>
          <w:numId w:val="18"/>
        </w:numPr>
      </w:pPr>
      <w:r w:rsidRPr="00FB5B5E">
        <w:t>Anders, namelijk …</w:t>
      </w:r>
    </w:p>
    <w:p w14:paraId="3A55BD6C" w14:textId="77777777" w:rsidR="00DE4425" w:rsidRDefault="00DE4425" w:rsidP="00DE4425">
      <w:pPr>
        <w:pStyle w:val="Lijstalinea"/>
      </w:pPr>
    </w:p>
    <w:p w14:paraId="330FE671" w14:textId="0E57C1A4" w:rsidR="003554C6" w:rsidRPr="003554C6" w:rsidRDefault="003554C6" w:rsidP="00DE4425">
      <w:pPr>
        <w:pStyle w:val="Lijstalinea"/>
        <w:numPr>
          <w:ilvl w:val="0"/>
          <w:numId w:val="3"/>
        </w:numPr>
      </w:pPr>
      <w:r w:rsidRPr="003554C6">
        <w:t xml:space="preserve">Dient een recht ten aanzien van deepfakes </w:t>
      </w:r>
      <w:r>
        <w:t>exclusief licentieerbaa</w:t>
      </w:r>
      <w:r w:rsidRPr="003554C6">
        <w:t>r te zijn?</w:t>
      </w:r>
    </w:p>
    <w:p w14:paraId="04083E64" w14:textId="77777777" w:rsidR="003554C6" w:rsidRPr="003554C6" w:rsidRDefault="003554C6" w:rsidP="00962A6F">
      <w:pPr>
        <w:pStyle w:val="Lijstalinea"/>
        <w:numPr>
          <w:ilvl w:val="0"/>
          <w:numId w:val="19"/>
        </w:numPr>
      </w:pPr>
      <w:r w:rsidRPr="003554C6">
        <w:t>Ja</w:t>
      </w:r>
    </w:p>
    <w:p w14:paraId="4B4E44CA" w14:textId="77777777" w:rsidR="003554C6" w:rsidRPr="003554C6" w:rsidRDefault="003554C6" w:rsidP="00962A6F">
      <w:pPr>
        <w:pStyle w:val="Lijstalinea"/>
        <w:numPr>
          <w:ilvl w:val="0"/>
          <w:numId w:val="19"/>
        </w:numPr>
      </w:pPr>
      <w:r w:rsidRPr="003554C6">
        <w:t>Nee</w:t>
      </w:r>
    </w:p>
    <w:p w14:paraId="14B1D7A5" w14:textId="2E71B1FF" w:rsidR="003554C6" w:rsidRDefault="003554C6" w:rsidP="00962A6F">
      <w:pPr>
        <w:pStyle w:val="Lijstalinea"/>
        <w:numPr>
          <w:ilvl w:val="0"/>
          <w:numId w:val="19"/>
        </w:numPr>
      </w:pPr>
      <w:r>
        <w:t>Ja</w:t>
      </w:r>
      <w:r w:rsidRPr="003554C6">
        <w:t xml:space="preserve">, </w:t>
      </w:r>
      <w:r>
        <w:t xml:space="preserve">maar </w:t>
      </w:r>
      <w:r w:rsidRPr="003554C6">
        <w:t>met de begrenzingen van het dwingend rechtelijk auteursontractenrecht en het intrekken van de toestemming op grond van de AVG.</w:t>
      </w:r>
    </w:p>
    <w:p w14:paraId="0A26F2E6" w14:textId="77777777" w:rsidR="00DF561D" w:rsidRPr="003554C6" w:rsidRDefault="00DF561D" w:rsidP="00DF561D">
      <w:pPr>
        <w:pStyle w:val="Lijstalinea"/>
      </w:pPr>
    </w:p>
    <w:p w14:paraId="436520F4" w14:textId="09FE7873" w:rsidR="009C2F9D" w:rsidRDefault="00DE4425" w:rsidP="00DF561D">
      <w:pPr>
        <w:pStyle w:val="Lijstalinea"/>
        <w:numPr>
          <w:ilvl w:val="0"/>
          <w:numId w:val="3"/>
        </w:numPr>
      </w:pPr>
      <w:r>
        <w:t xml:space="preserve">Dienen er beperkingen te gelden ten aanzien van een </w:t>
      </w:r>
      <w:r w:rsidRPr="00DE4425">
        <w:t>recht ten aanzien van deepfakes</w:t>
      </w:r>
      <w:r>
        <w:t>?</w:t>
      </w:r>
    </w:p>
    <w:p w14:paraId="607362EE" w14:textId="2AEAF4E7" w:rsidR="007C7F5D" w:rsidRDefault="00DE4425" w:rsidP="00962A6F">
      <w:pPr>
        <w:pStyle w:val="Lijstalinea"/>
        <w:numPr>
          <w:ilvl w:val="0"/>
          <w:numId w:val="20"/>
        </w:numPr>
      </w:pPr>
      <w:r>
        <w:t>Nee</w:t>
      </w:r>
    </w:p>
    <w:p w14:paraId="389376F9" w14:textId="30C54F3B" w:rsidR="00DE4425" w:rsidRDefault="00DE4425" w:rsidP="00962A6F">
      <w:pPr>
        <w:pStyle w:val="Lijstalinea"/>
        <w:numPr>
          <w:ilvl w:val="0"/>
          <w:numId w:val="20"/>
        </w:numPr>
      </w:pPr>
      <w:r>
        <w:t xml:space="preserve">Ja, alle beperkingen die ook gelden ten aanzien van het auteursrecht en de naburige rechten (inclusief privé kopie, onderwijs, onderzoek, </w:t>
      </w:r>
      <w:r w:rsidR="005C25BD">
        <w:t xml:space="preserve">citaat, </w:t>
      </w:r>
      <w:r>
        <w:t>nieuwsvoorziening</w:t>
      </w:r>
      <w:r w:rsidR="005C25BD">
        <w:t xml:space="preserve"> en</w:t>
      </w:r>
      <w:r>
        <w:t xml:space="preserve"> parodie)</w:t>
      </w:r>
      <w:r w:rsidR="005C25BD">
        <w:t>, maar deze dienen beperkt te worden geïnterpreteerd, mat name in het licht van het verwarringsgevaar.</w:t>
      </w:r>
    </w:p>
    <w:p w14:paraId="3EF9B3D8" w14:textId="056E9C73" w:rsidR="00DE4425" w:rsidRDefault="00DE4425" w:rsidP="00962A6F">
      <w:pPr>
        <w:pStyle w:val="Lijstalinea"/>
        <w:numPr>
          <w:ilvl w:val="0"/>
          <w:numId w:val="20"/>
        </w:numPr>
      </w:pPr>
      <w:r>
        <w:lastRenderedPageBreak/>
        <w:t>Ja, er dient van geval tot geval een volledige afweging te worden gemaakt tegen de informatievrijheid, waarbij beide rechten in beginsel even zwaar wegen.</w:t>
      </w:r>
    </w:p>
    <w:p w14:paraId="4D2915B5" w14:textId="6A67E0F8" w:rsidR="00DF561D" w:rsidRDefault="00DF561D" w:rsidP="00962A6F">
      <w:pPr>
        <w:pStyle w:val="Lijstalinea"/>
        <w:numPr>
          <w:ilvl w:val="0"/>
          <w:numId w:val="20"/>
        </w:numPr>
      </w:pPr>
      <w:r>
        <w:t>Anders, namelijk …</w:t>
      </w:r>
    </w:p>
    <w:p w14:paraId="1680F059" w14:textId="77777777" w:rsidR="00C22FEA" w:rsidRDefault="00C22FEA" w:rsidP="00DD22F3">
      <w:pPr>
        <w:pStyle w:val="Lijstalinea"/>
      </w:pPr>
    </w:p>
    <w:p w14:paraId="451B0B32" w14:textId="75FCA3FE" w:rsidR="00DF561D" w:rsidRDefault="00DF561D" w:rsidP="00DD22F3">
      <w:pPr>
        <w:pStyle w:val="Lijstalinea"/>
        <w:numPr>
          <w:ilvl w:val="0"/>
          <w:numId w:val="3"/>
        </w:numPr>
      </w:pPr>
      <w:r>
        <w:t>Dient het recht ten aanzien van deepfakes ook te gelden voor buitenlanders?</w:t>
      </w:r>
    </w:p>
    <w:p w14:paraId="54F5AE1E" w14:textId="1F8958F9" w:rsidR="00DF561D" w:rsidRDefault="00DF561D" w:rsidP="00962A6F">
      <w:pPr>
        <w:pStyle w:val="Lijstalinea"/>
        <w:numPr>
          <w:ilvl w:val="0"/>
          <w:numId w:val="21"/>
        </w:numPr>
      </w:pPr>
      <w:r>
        <w:t xml:space="preserve">Nee, alleen voor Nederlanders </w:t>
      </w:r>
    </w:p>
    <w:p w14:paraId="137072CA" w14:textId="1748F014" w:rsidR="00DF561D" w:rsidRDefault="00DF561D" w:rsidP="00962A6F">
      <w:pPr>
        <w:pStyle w:val="Lijstalinea"/>
        <w:numPr>
          <w:ilvl w:val="0"/>
          <w:numId w:val="21"/>
        </w:numPr>
      </w:pPr>
      <w:r>
        <w:t>Ja, maar alleen voor EU onderdanen.</w:t>
      </w:r>
    </w:p>
    <w:p w14:paraId="7B0E510F" w14:textId="77777777" w:rsidR="00FB5B5E" w:rsidRDefault="00DF561D" w:rsidP="00962A6F">
      <w:pPr>
        <w:pStyle w:val="Lijstalinea"/>
        <w:numPr>
          <w:ilvl w:val="0"/>
          <w:numId w:val="21"/>
        </w:numPr>
      </w:pPr>
      <w:r>
        <w:t xml:space="preserve">Ja, voor iedereen ongeacht herkomst of verblijfplaats. </w:t>
      </w:r>
    </w:p>
    <w:p w14:paraId="08DC8D72" w14:textId="7CDB1054" w:rsidR="00DE4425" w:rsidRDefault="00FB5B5E" w:rsidP="00962A6F">
      <w:pPr>
        <w:pStyle w:val="Lijstalinea"/>
        <w:numPr>
          <w:ilvl w:val="0"/>
          <w:numId w:val="21"/>
        </w:numPr>
      </w:pPr>
      <w:r w:rsidRPr="00FB5B5E">
        <w:t>Anders, namelijk …</w:t>
      </w:r>
    </w:p>
    <w:p w14:paraId="35352691" w14:textId="77777777" w:rsidR="00FB5B5E" w:rsidRDefault="00FB5B5E" w:rsidP="00FB5B5E">
      <w:pPr>
        <w:pStyle w:val="Lijstalinea"/>
      </w:pPr>
    </w:p>
    <w:p w14:paraId="1F82A7A9" w14:textId="184EE610" w:rsidR="007C7F5D" w:rsidRDefault="00DF561D" w:rsidP="00DD22F3">
      <w:pPr>
        <w:pStyle w:val="Lijstalinea"/>
        <w:numPr>
          <w:ilvl w:val="0"/>
          <w:numId w:val="3"/>
        </w:numPr>
      </w:pPr>
      <w:r>
        <w:t>Hoe en door wie dient het recht ten aanzien deepfakes te (kunnen) worden gehandhaafd? (</w:t>
      </w:r>
      <w:r w:rsidRPr="00DD22F3">
        <w:rPr>
          <w:i/>
          <w:iCs/>
        </w:rPr>
        <w:t>meerdere antwoorden mogelijk</w:t>
      </w:r>
      <w:r>
        <w:t>).</w:t>
      </w:r>
    </w:p>
    <w:p w14:paraId="3D18341D" w14:textId="0F7C623F" w:rsidR="00DF561D" w:rsidRDefault="00DF561D" w:rsidP="00962A6F">
      <w:pPr>
        <w:pStyle w:val="Lijstalinea"/>
        <w:numPr>
          <w:ilvl w:val="0"/>
          <w:numId w:val="22"/>
        </w:numPr>
      </w:pPr>
      <w:r>
        <w:t>Strafrechtelijk</w:t>
      </w:r>
      <w:r w:rsidR="00DD22F3">
        <w:t>,</w:t>
      </w:r>
      <w:r>
        <w:t xml:space="preserve"> door politie en openbaar ministerie.</w:t>
      </w:r>
    </w:p>
    <w:p w14:paraId="53DF8AF1" w14:textId="7675ADD2" w:rsidR="00DF561D" w:rsidRDefault="00DF561D" w:rsidP="00962A6F">
      <w:pPr>
        <w:pStyle w:val="Lijstalinea"/>
        <w:numPr>
          <w:ilvl w:val="0"/>
          <w:numId w:val="22"/>
        </w:numPr>
      </w:pPr>
      <w:r>
        <w:t>Bestuursrechtelijk</w:t>
      </w:r>
      <w:r w:rsidR="00DD22F3">
        <w:t>,</w:t>
      </w:r>
      <w:r>
        <w:t xml:space="preserve"> door </w:t>
      </w:r>
      <w:hyperlink r:id="rId13" w:history="1">
        <w:r w:rsidRPr="00DD22F3">
          <w:rPr>
            <w:rStyle w:val="Hyperlink"/>
          </w:rPr>
          <w:t>AP</w:t>
        </w:r>
      </w:hyperlink>
      <w:r>
        <w:t xml:space="preserve">, </w:t>
      </w:r>
      <w:hyperlink r:id="rId14" w:history="1">
        <w:r w:rsidRPr="00DD22F3">
          <w:rPr>
            <w:rStyle w:val="Hyperlink"/>
          </w:rPr>
          <w:t>ACM</w:t>
        </w:r>
      </w:hyperlink>
      <w:r>
        <w:t xml:space="preserve">, </w:t>
      </w:r>
      <w:hyperlink r:id="rId15" w:history="1">
        <w:r w:rsidRPr="00DD22F3">
          <w:rPr>
            <w:rStyle w:val="Hyperlink"/>
          </w:rPr>
          <w:t>AKTM</w:t>
        </w:r>
      </w:hyperlink>
      <w:r w:rsidR="00DD22F3">
        <w:t xml:space="preserve">, of een nieuwe ‘autoriteit’. </w:t>
      </w:r>
    </w:p>
    <w:p w14:paraId="62CCE45A" w14:textId="7976DB11" w:rsidR="00DF561D" w:rsidRDefault="00DF561D" w:rsidP="00962A6F">
      <w:pPr>
        <w:pStyle w:val="Lijstalinea"/>
        <w:numPr>
          <w:ilvl w:val="0"/>
          <w:numId w:val="22"/>
        </w:numPr>
      </w:pPr>
      <w:r>
        <w:t>Civielrechtelijk</w:t>
      </w:r>
      <w:r w:rsidR="00DD22F3">
        <w:t>,</w:t>
      </w:r>
      <w:r>
        <w:t xml:space="preserve"> door </w:t>
      </w:r>
      <w:r w:rsidR="00DD22F3">
        <w:t>individuele en collectieve acties namens belangenorganisaties.</w:t>
      </w:r>
    </w:p>
    <w:p w14:paraId="6833453B" w14:textId="77777777" w:rsidR="00FB5B5E" w:rsidRPr="00FB5B5E" w:rsidRDefault="00FB5B5E" w:rsidP="00962A6F">
      <w:pPr>
        <w:pStyle w:val="Lijstalinea"/>
        <w:numPr>
          <w:ilvl w:val="0"/>
          <w:numId w:val="22"/>
        </w:numPr>
      </w:pPr>
      <w:r w:rsidRPr="00FB5B5E">
        <w:t>Anders, namelijk …</w:t>
      </w:r>
    </w:p>
    <w:p w14:paraId="53C940C2" w14:textId="77777777" w:rsidR="00FB5B5E" w:rsidRDefault="00FB5B5E" w:rsidP="00FB5B5E">
      <w:pPr>
        <w:pStyle w:val="Lijstalinea"/>
      </w:pPr>
    </w:p>
    <w:p w14:paraId="4884AF73" w14:textId="7E2CB803" w:rsidR="00DF561D" w:rsidRDefault="00DD22F3" w:rsidP="00DD22F3">
      <w:pPr>
        <w:pStyle w:val="Lijstalinea"/>
        <w:numPr>
          <w:ilvl w:val="0"/>
          <w:numId w:val="3"/>
        </w:numPr>
      </w:pPr>
      <w:r>
        <w:t xml:space="preserve">Jegens wie </w:t>
      </w:r>
      <w:r w:rsidRPr="00DD22F3">
        <w:t>dient het recht ten aanzien deepfakes te (kunnen) worden gehandhaafd? (</w:t>
      </w:r>
      <w:r w:rsidRPr="00DD22F3">
        <w:rPr>
          <w:i/>
          <w:iCs/>
        </w:rPr>
        <w:t>meerdere antwoorden mogelijk</w:t>
      </w:r>
      <w:r w:rsidRPr="00DD22F3">
        <w:t>).</w:t>
      </w:r>
    </w:p>
    <w:p w14:paraId="217F1CC5" w14:textId="5694E2FA" w:rsidR="00DF561D" w:rsidRDefault="00DD22F3" w:rsidP="00962A6F">
      <w:pPr>
        <w:pStyle w:val="Lijstalinea"/>
        <w:numPr>
          <w:ilvl w:val="0"/>
          <w:numId w:val="23"/>
        </w:numPr>
      </w:pPr>
      <w:r>
        <w:t>Particulieren en bedrijven die deepfakes vervaardigen en verspreiden</w:t>
      </w:r>
    </w:p>
    <w:p w14:paraId="4FB44AA2" w14:textId="6125A388" w:rsidR="00DD22F3" w:rsidRDefault="00DD22F3" w:rsidP="00962A6F">
      <w:pPr>
        <w:pStyle w:val="Lijstalinea"/>
        <w:numPr>
          <w:ilvl w:val="0"/>
          <w:numId w:val="23"/>
        </w:numPr>
      </w:pPr>
      <w:r>
        <w:t>Internet tussenpersonen</w:t>
      </w:r>
      <w:r w:rsidR="005C25BD">
        <w:t xml:space="preserve"> (</w:t>
      </w:r>
      <w:r w:rsidR="00361677">
        <w:t xml:space="preserve">o.a. </w:t>
      </w:r>
      <w:r w:rsidR="005C25BD">
        <w:t>platforms)</w:t>
      </w:r>
    </w:p>
    <w:p w14:paraId="7446086E" w14:textId="716EFA5B" w:rsidR="00DD22F3" w:rsidRDefault="00DD22F3" w:rsidP="00962A6F">
      <w:pPr>
        <w:pStyle w:val="Lijstalinea"/>
        <w:numPr>
          <w:ilvl w:val="0"/>
          <w:numId w:val="23"/>
        </w:numPr>
      </w:pPr>
      <w:r>
        <w:t xml:space="preserve">Aanbieders van AI systemen waar deepfakes mee vervaardigd </w:t>
      </w:r>
      <w:r w:rsidR="005E3459">
        <w:t>(</w:t>
      </w:r>
      <w:r>
        <w:t>kunnen</w:t>
      </w:r>
      <w:r w:rsidR="005E3459">
        <w:t>)</w:t>
      </w:r>
      <w:r>
        <w:t xml:space="preserve"> worden.</w:t>
      </w:r>
    </w:p>
    <w:p w14:paraId="71701974" w14:textId="77777777" w:rsidR="00FB5B5E" w:rsidRPr="00FB5B5E" w:rsidRDefault="00FB5B5E" w:rsidP="00962A6F">
      <w:pPr>
        <w:pStyle w:val="Lijstalinea"/>
        <w:numPr>
          <w:ilvl w:val="0"/>
          <w:numId w:val="23"/>
        </w:numPr>
      </w:pPr>
      <w:r w:rsidRPr="00FB5B5E">
        <w:t>Anders, namelijk …</w:t>
      </w:r>
    </w:p>
    <w:p w14:paraId="79FA653D" w14:textId="77777777" w:rsidR="005C25BD" w:rsidRDefault="005C25BD" w:rsidP="005C25BD">
      <w:pPr>
        <w:pStyle w:val="Lijstalinea"/>
      </w:pPr>
    </w:p>
    <w:p w14:paraId="44AC5961" w14:textId="7DE0F5FF" w:rsidR="007C7F5D" w:rsidRDefault="00DD22F3" w:rsidP="005C25BD">
      <w:pPr>
        <w:pStyle w:val="Lijstalinea"/>
        <w:numPr>
          <w:ilvl w:val="0"/>
          <w:numId w:val="3"/>
        </w:numPr>
      </w:pPr>
      <w:r>
        <w:t>Wat is een wenselijk</w:t>
      </w:r>
      <w:r w:rsidR="005C25BD">
        <w:t>e</w:t>
      </w:r>
      <w:r>
        <w:t xml:space="preserve"> definitie van deepfakes?</w:t>
      </w:r>
    </w:p>
    <w:p w14:paraId="4157BB13" w14:textId="3A4A264E" w:rsidR="00DD22F3" w:rsidRDefault="005C25BD" w:rsidP="005C25BD">
      <w:pPr>
        <w:ind w:firstLine="360"/>
      </w:pPr>
      <w:r>
        <w:t>[open vraag]</w:t>
      </w:r>
    </w:p>
    <w:p w14:paraId="127CC150" w14:textId="6A39B2EA" w:rsidR="005E3459" w:rsidRDefault="005E3459" w:rsidP="005E3459">
      <w:pPr>
        <w:ind w:left="360"/>
      </w:pPr>
      <w:r>
        <w:t xml:space="preserve">[In het voorstel van </w:t>
      </w:r>
      <w:hyperlink r:id="rId16" w:history="1">
        <w:r w:rsidRPr="005E3459">
          <w:rPr>
            <w:rStyle w:val="Hyperlink"/>
          </w:rPr>
          <w:t>mw. Dral</w:t>
        </w:r>
      </w:hyperlink>
      <w:r>
        <w:t xml:space="preserve"> is de volgende definitie opgenomen, ontleend aan art. 3, onderdeel 60, </w:t>
      </w:r>
      <w:r w:rsidRPr="005E3459">
        <w:t>van de AI Act</w:t>
      </w:r>
      <w:r>
        <w:t xml:space="preserve">, </w:t>
      </w:r>
      <w:r w:rsidRPr="005E3459">
        <w:t>afgebakend tot deepfakes van natuurlijke personen</w:t>
      </w:r>
      <w:r>
        <w:t>:</w:t>
      </w:r>
    </w:p>
    <w:p w14:paraId="4C9D9B97" w14:textId="29DE182D" w:rsidR="005E3459" w:rsidRDefault="005E3459" w:rsidP="005E3459">
      <w:pPr>
        <w:ind w:left="360"/>
      </w:pPr>
      <w:r w:rsidRPr="005E3459">
        <w:t>deepfake van een persoon: een door artificiële intelligentie gegenereerd of gemanipuleerd beeld-, audio- of videomateriaal dat een gelijkenis vertoont met een bestaand of overleden natuurlijk persoon en door een persoon ten onrechte voor authentiek of waarheidsgetrouw kan worden aangezien</w:t>
      </w:r>
      <w:r>
        <w:t>]</w:t>
      </w:r>
      <w:r w:rsidRPr="005E3459">
        <w:t>.</w:t>
      </w:r>
    </w:p>
    <w:p w14:paraId="357C78D2" w14:textId="77777777" w:rsidR="008E4B9E" w:rsidRDefault="008E4B9E"/>
    <w:p w14:paraId="5A54EE05" w14:textId="0A9AEB27" w:rsidR="007D6726" w:rsidRDefault="007A5257">
      <w:r>
        <w:t>Antwoorden, suggesties en reactie</w:t>
      </w:r>
      <w:r w:rsidR="008E4B9E">
        <w:t>s</w:t>
      </w:r>
      <w:r>
        <w:t xml:space="preserve"> </w:t>
      </w:r>
      <w:r w:rsidR="00850D88">
        <w:t xml:space="preserve">graag </w:t>
      </w:r>
      <w:r w:rsidR="008E4B9E">
        <w:t>n</w:t>
      </w:r>
      <w:r>
        <w:t xml:space="preserve">aar </w:t>
      </w:r>
      <w:hyperlink r:id="rId17" w:history="1">
        <w:r w:rsidR="008E4B9E" w:rsidRPr="00AF0632">
          <w:rPr>
            <w:rStyle w:val="Hyperlink"/>
          </w:rPr>
          <w:t>d.j.g.visser@law.leidenuniv.nl</w:t>
        </w:r>
      </w:hyperlink>
      <w:r w:rsidR="00927BB4">
        <w:t>. D</w:t>
      </w:r>
      <w:r w:rsidR="00B813C9">
        <w:t>aarbij g</w:t>
      </w:r>
      <w:r w:rsidR="007D6726">
        <w:t xml:space="preserve">raag laten weten </w:t>
      </w:r>
      <w:r w:rsidR="00927BB4">
        <w:t xml:space="preserve">of </w:t>
      </w:r>
      <w:r w:rsidR="00B813C9">
        <w:t>de reactie</w:t>
      </w:r>
      <w:r w:rsidR="00321CE9">
        <w:t xml:space="preserve"> </w:t>
      </w:r>
      <w:r w:rsidR="00B813C9">
        <w:t>ge</w:t>
      </w:r>
      <w:r w:rsidR="00321CE9">
        <w:t>anonim</w:t>
      </w:r>
      <w:r w:rsidR="00B813C9">
        <w:t>iseerd</w:t>
      </w:r>
      <w:r w:rsidR="00321CE9">
        <w:t xml:space="preserve"> of met naam van de betrokkene </w:t>
      </w:r>
      <w:r w:rsidR="00927BB4">
        <w:t>en/</w:t>
      </w:r>
      <w:r w:rsidR="00321CE9">
        <w:t xml:space="preserve">of de betrokken organisatie </w:t>
      </w:r>
      <w:r w:rsidR="00B813C9">
        <w:t>in een rapportage mag worden verwerkt.</w:t>
      </w:r>
    </w:p>
    <w:p w14:paraId="4B94B4E7" w14:textId="77777777" w:rsidR="007C7F5D" w:rsidRDefault="007C7F5D" w:rsidP="008E4B9E"/>
    <w:sectPr w:rsidR="007C7F5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FF2D" w14:textId="77777777" w:rsidR="009B6582" w:rsidRDefault="009B6582" w:rsidP="003647FE">
      <w:pPr>
        <w:spacing w:after="0" w:line="240" w:lineRule="auto"/>
      </w:pPr>
      <w:r>
        <w:separator/>
      </w:r>
    </w:p>
  </w:endnote>
  <w:endnote w:type="continuationSeparator" w:id="0">
    <w:p w14:paraId="0CD2FCEB" w14:textId="77777777" w:rsidR="009B6582" w:rsidRDefault="009B6582" w:rsidP="0036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86148"/>
      <w:docPartObj>
        <w:docPartGallery w:val="Page Numbers (Bottom of Page)"/>
        <w:docPartUnique/>
      </w:docPartObj>
    </w:sdtPr>
    <w:sdtContent>
      <w:p w14:paraId="0E37AF05" w14:textId="6D299325" w:rsidR="003647FE" w:rsidRDefault="003647FE">
        <w:pPr>
          <w:pStyle w:val="Voettekst"/>
          <w:jc w:val="center"/>
        </w:pPr>
        <w:r>
          <w:fldChar w:fldCharType="begin"/>
        </w:r>
        <w:r>
          <w:instrText>PAGE   \* MERGEFORMAT</w:instrText>
        </w:r>
        <w:r>
          <w:fldChar w:fldCharType="separate"/>
        </w:r>
        <w:r>
          <w:t>2</w:t>
        </w:r>
        <w:r>
          <w:fldChar w:fldCharType="end"/>
        </w:r>
      </w:p>
    </w:sdtContent>
  </w:sdt>
  <w:p w14:paraId="764B0160" w14:textId="77777777" w:rsidR="003647FE" w:rsidRDefault="003647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7E43" w14:textId="77777777" w:rsidR="009B6582" w:rsidRDefault="009B6582" w:rsidP="003647FE">
      <w:pPr>
        <w:spacing w:after="0" w:line="240" w:lineRule="auto"/>
      </w:pPr>
      <w:r>
        <w:separator/>
      </w:r>
    </w:p>
  </w:footnote>
  <w:footnote w:type="continuationSeparator" w:id="0">
    <w:p w14:paraId="43EEC11B" w14:textId="77777777" w:rsidR="009B6582" w:rsidRDefault="009B6582" w:rsidP="0036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ED9"/>
    <w:multiLevelType w:val="hybridMultilevel"/>
    <w:tmpl w:val="22880F9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386BB6"/>
    <w:multiLevelType w:val="hybridMultilevel"/>
    <w:tmpl w:val="838617B0"/>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22BFB"/>
    <w:multiLevelType w:val="hybridMultilevel"/>
    <w:tmpl w:val="FC000E6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F3362"/>
    <w:multiLevelType w:val="hybridMultilevel"/>
    <w:tmpl w:val="E04C3F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871D72"/>
    <w:multiLevelType w:val="hybridMultilevel"/>
    <w:tmpl w:val="BBE4A1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C60135"/>
    <w:multiLevelType w:val="hybridMultilevel"/>
    <w:tmpl w:val="9CAA9BAA"/>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BD3443"/>
    <w:multiLevelType w:val="hybridMultilevel"/>
    <w:tmpl w:val="4BD491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F35480"/>
    <w:multiLevelType w:val="hybridMultilevel"/>
    <w:tmpl w:val="C21AE9E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190F32"/>
    <w:multiLevelType w:val="hybridMultilevel"/>
    <w:tmpl w:val="2B9691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9C2E40"/>
    <w:multiLevelType w:val="hybridMultilevel"/>
    <w:tmpl w:val="579A28E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1977A8"/>
    <w:multiLevelType w:val="hybridMultilevel"/>
    <w:tmpl w:val="6AACA4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BF37A5"/>
    <w:multiLevelType w:val="hybridMultilevel"/>
    <w:tmpl w:val="04DA571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B176D"/>
    <w:multiLevelType w:val="hybridMultilevel"/>
    <w:tmpl w:val="166CAA7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3013BF"/>
    <w:multiLevelType w:val="hybridMultilevel"/>
    <w:tmpl w:val="ABEC3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DA3ED0"/>
    <w:multiLevelType w:val="hybridMultilevel"/>
    <w:tmpl w:val="F676D4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5D1D45"/>
    <w:multiLevelType w:val="hybridMultilevel"/>
    <w:tmpl w:val="C55AAE1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300A49"/>
    <w:multiLevelType w:val="hybridMultilevel"/>
    <w:tmpl w:val="32A8BE0A"/>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283FFC"/>
    <w:multiLevelType w:val="hybridMultilevel"/>
    <w:tmpl w:val="D27C5A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AA3CE9"/>
    <w:multiLevelType w:val="hybridMultilevel"/>
    <w:tmpl w:val="FAFAE0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B608A4"/>
    <w:multiLevelType w:val="hybridMultilevel"/>
    <w:tmpl w:val="0D0287D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6D7969"/>
    <w:multiLevelType w:val="hybridMultilevel"/>
    <w:tmpl w:val="7E3E8C7A"/>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F8066E"/>
    <w:multiLevelType w:val="hybridMultilevel"/>
    <w:tmpl w:val="C9A8D0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5E77D4"/>
    <w:multiLevelType w:val="hybridMultilevel"/>
    <w:tmpl w:val="0B32F07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4049643">
    <w:abstractNumId w:val="13"/>
  </w:num>
  <w:num w:numId="2" w16cid:durableId="1932739827">
    <w:abstractNumId w:val="17"/>
  </w:num>
  <w:num w:numId="3" w16cid:durableId="1421413583">
    <w:abstractNumId w:val="3"/>
  </w:num>
  <w:num w:numId="4" w16cid:durableId="568226824">
    <w:abstractNumId w:val="8"/>
  </w:num>
  <w:num w:numId="5" w16cid:durableId="1894081414">
    <w:abstractNumId w:val="15"/>
  </w:num>
  <w:num w:numId="6" w16cid:durableId="905259526">
    <w:abstractNumId w:val="18"/>
  </w:num>
  <w:num w:numId="7" w16cid:durableId="964311194">
    <w:abstractNumId w:val="10"/>
  </w:num>
  <w:num w:numId="8" w16cid:durableId="1343163419">
    <w:abstractNumId w:val="4"/>
  </w:num>
  <w:num w:numId="9" w16cid:durableId="2077705850">
    <w:abstractNumId w:val="21"/>
  </w:num>
  <w:num w:numId="10" w16cid:durableId="736052595">
    <w:abstractNumId w:val="2"/>
  </w:num>
  <w:num w:numId="11" w16cid:durableId="1598513783">
    <w:abstractNumId w:val="14"/>
  </w:num>
  <w:num w:numId="12" w16cid:durableId="831674871">
    <w:abstractNumId w:val="6"/>
  </w:num>
  <w:num w:numId="13" w16cid:durableId="1573850095">
    <w:abstractNumId w:val="22"/>
  </w:num>
  <w:num w:numId="14" w16cid:durableId="1974823598">
    <w:abstractNumId w:val="7"/>
  </w:num>
  <w:num w:numId="15" w16cid:durableId="2062899252">
    <w:abstractNumId w:val="0"/>
  </w:num>
  <w:num w:numId="16" w16cid:durableId="1502702529">
    <w:abstractNumId w:val="12"/>
  </w:num>
  <w:num w:numId="17" w16cid:durableId="1421557691">
    <w:abstractNumId w:val="16"/>
  </w:num>
  <w:num w:numId="18" w16cid:durableId="444618351">
    <w:abstractNumId w:val="9"/>
  </w:num>
  <w:num w:numId="19" w16cid:durableId="458258249">
    <w:abstractNumId w:val="19"/>
  </w:num>
  <w:num w:numId="20" w16cid:durableId="155461742">
    <w:abstractNumId w:val="20"/>
  </w:num>
  <w:num w:numId="21" w16cid:durableId="2076735589">
    <w:abstractNumId w:val="11"/>
  </w:num>
  <w:num w:numId="22" w16cid:durableId="2107263906">
    <w:abstractNumId w:val="1"/>
  </w:num>
  <w:num w:numId="23" w16cid:durableId="12539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5D"/>
    <w:rsid w:val="000666A8"/>
    <w:rsid w:val="00093A2C"/>
    <w:rsid w:val="00160BBB"/>
    <w:rsid w:val="00192161"/>
    <w:rsid w:val="00255521"/>
    <w:rsid w:val="00255A38"/>
    <w:rsid w:val="0027201E"/>
    <w:rsid w:val="002C1E37"/>
    <w:rsid w:val="002C5107"/>
    <w:rsid w:val="00321CE9"/>
    <w:rsid w:val="003554C6"/>
    <w:rsid w:val="00361677"/>
    <w:rsid w:val="003618D9"/>
    <w:rsid w:val="003647FE"/>
    <w:rsid w:val="00374E5E"/>
    <w:rsid w:val="00381D65"/>
    <w:rsid w:val="003840B9"/>
    <w:rsid w:val="003C3587"/>
    <w:rsid w:val="00404095"/>
    <w:rsid w:val="00507216"/>
    <w:rsid w:val="0055762A"/>
    <w:rsid w:val="005B5D9D"/>
    <w:rsid w:val="005C25BD"/>
    <w:rsid w:val="005E3459"/>
    <w:rsid w:val="00625352"/>
    <w:rsid w:val="00627F3B"/>
    <w:rsid w:val="00685611"/>
    <w:rsid w:val="006D0F46"/>
    <w:rsid w:val="006F74F5"/>
    <w:rsid w:val="00726AC0"/>
    <w:rsid w:val="00732C0C"/>
    <w:rsid w:val="00767A93"/>
    <w:rsid w:val="00777626"/>
    <w:rsid w:val="007A5257"/>
    <w:rsid w:val="007C7F5D"/>
    <w:rsid w:val="007D6726"/>
    <w:rsid w:val="0082602B"/>
    <w:rsid w:val="00850D88"/>
    <w:rsid w:val="008B4A46"/>
    <w:rsid w:val="008E4B9E"/>
    <w:rsid w:val="00927BB4"/>
    <w:rsid w:val="00962A6F"/>
    <w:rsid w:val="009B6582"/>
    <w:rsid w:val="009C2F9D"/>
    <w:rsid w:val="00A82782"/>
    <w:rsid w:val="00AF7C16"/>
    <w:rsid w:val="00B12E80"/>
    <w:rsid w:val="00B4625D"/>
    <w:rsid w:val="00B813C9"/>
    <w:rsid w:val="00B85D24"/>
    <w:rsid w:val="00BD3D0C"/>
    <w:rsid w:val="00C22FEA"/>
    <w:rsid w:val="00C25447"/>
    <w:rsid w:val="00D31D6B"/>
    <w:rsid w:val="00D430D0"/>
    <w:rsid w:val="00DC178B"/>
    <w:rsid w:val="00DC7894"/>
    <w:rsid w:val="00DD22F3"/>
    <w:rsid w:val="00DE4425"/>
    <w:rsid w:val="00DF561D"/>
    <w:rsid w:val="00E04BFB"/>
    <w:rsid w:val="00E46AF6"/>
    <w:rsid w:val="00E629FE"/>
    <w:rsid w:val="00EB0599"/>
    <w:rsid w:val="00EC23BE"/>
    <w:rsid w:val="00EF6EF4"/>
    <w:rsid w:val="00F32F33"/>
    <w:rsid w:val="00F449FC"/>
    <w:rsid w:val="00F6733F"/>
    <w:rsid w:val="00FB5B5E"/>
    <w:rsid w:val="00FB7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B72C"/>
  <w15:chartTrackingRefBased/>
  <w15:docId w15:val="{9E3FEA2C-D91E-4B54-95F3-22573DEE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F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F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F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F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F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F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F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F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F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F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F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F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F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F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F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F5D"/>
    <w:rPr>
      <w:rFonts w:eastAsiaTheme="majorEastAsia" w:cstheme="majorBidi"/>
      <w:color w:val="272727" w:themeColor="text1" w:themeTint="D8"/>
    </w:rPr>
  </w:style>
  <w:style w:type="paragraph" w:styleId="Titel">
    <w:name w:val="Title"/>
    <w:basedOn w:val="Standaard"/>
    <w:next w:val="Standaard"/>
    <w:link w:val="TitelChar"/>
    <w:uiPriority w:val="10"/>
    <w:qFormat/>
    <w:rsid w:val="007C7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F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F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F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F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F5D"/>
    <w:rPr>
      <w:i/>
      <w:iCs/>
      <w:color w:val="404040" w:themeColor="text1" w:themeTint="BF"/>
    </w:rPr>
  </w:style>
  <w:style w:type="paragraph" w:styleId="Lijstalinea">
    <w:name w:val="List Paragraph"/>
    <w:basedOn w:val="Standaard"/>
    <w:uiPriority w:val="34"/>
    <w:qFormat/>
    <w:rsid w:val="007C7F5D"/>
    <w:pPr>
      <w:ind w:left="720"/>
      <w:contextualSpacing/>
    </w:pPr>
  </w:style>
  <w:style w:type="character" w:styleId="Intensievebenadrukking">
    <w:name w:val="Intense Emphasis"/>
    <w:basedOn w:val="Standaardalinea-lettertype"/>
    <w:uiPriority w:val="21"/>
    <w:qFormat/>
    <w:rsid w:val="007C7F5D"/>
    <w:rPr>
      <w:i/>
      <w:iCs/>
      <w:color w:val="0F4761" w:themeColor="accent1" w:themeShade="BF"/>
    </w:rPr>
  </w:style>
  <w:style w:type="paragraph" w:styleId="Duidelijkcitaat">
    <w:name w:val="Intense Quote"/>
    <w:basedOn w:val="Standaard"/>
    <w:next w:val="Standaard"/>
    <w:link w:val="DuidelijkcitaatChar"/>
    <w:uiPriority w:val="30"/>
    <w:qFormat/>
    <w:rsid w:val="007C7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F5D"/>
    <w:rPr>
      <w:i/>
      <w:iCs/>
      <w:color w:val="0F4761" w:themeColor="accent1" w:themeShade="BF"/>
    </w:rPr>
  </w:style>
  <w:style w:type="character" w:styleId="Intensieveverwijzing">
    <w:name w:val="Intense Reference"/>
    <w:basedOn w:val="Standaardalinea-lettertype"/>
    <w:uiPriority w:val="32"/>
    <w:qFormat/>
    <w:rsid w:val="007C7F5D"/>
    <w:rPr>
      <w:b/>
      <w:bCs/>
      <w:smallCaps/>
      <w:color w:val="0F4761" w:themeColor="accent1" w:themeShade="BF"/>
      <w:spacing w:val="5"/>
    </w:rPr>
  </w:style>
  <w:style w:type="character" w:styleId="Hyperlink">
    <w:name w:val="Hyperlink"/>
    <w:basedOn w:val="Standaardalinea-lettertype"/>
    <w:uiPriority w:val="99"/>
    <w:unhideWhenUsed/>
    <w:rsid w:val="00DD22F3"/>
    <w:rPr>
      <w:color w:val="467886" w:themeColor="hyperlink"/>
      <w:u w:val="single"/>
    </w:rPr>
  </w:style>
  <w:style w:type="character" w:styleId="Onopgelostemelding">
    <w:name w:val="Unresolved Mention"/>
    <w:basedOn w:val="Standaardalinea-lettertype"/>
    <w:uiPriority w:val="99"/>
    <w:semiHidden/>
    <w:unhideWhenUsed/>
    <w:rsid w:val="00DD22F3"/>
    <w:rPr>
      <w:color w:val="605E5C"/>
      <w:shd w:val="clear" w:color="auto" w:fill="E1DFDD"/>
    </w:rPr>
  </w:style>
  <w:style w:type="paragraph" w:styleId="Koptekst">
    <w:name w:val="header"/>
    <w:basedOn w:val="Standaard"/>
    <w:link w:val="KoptekstChar"/>
    <w:uiPriority w:val="99"/>
    <w:unhideWhenUsed/>
    <w:rsid w:val="003647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47FE"/>
  </w:style>
  <w:style w:type="paragraph" w:styleId="Voettekst">
    <w:name w:val="footer"/>
    <w:basedOn w:val="Standaard"/>
    <w:link w:val="VoettekstChar"/>
    <w:uiPriority w:val="99"/>
    <w:unhideWhenUsed/>
    <w:rsid w:val="003647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47FE"/>
  </w:style>
  <w:style w:type="paragraph" w:styleId="Revisie">
    <w:name w:val="Revision"/>
    <w:hidden/>
    <w:uiPriority w:val="99"/>
    <w:semiHidden/>
    <w:rsid w:val="00160BBB"/>
    <w:pPr>
      <w:spacing w:after="0" w:line="240" w:lineRule="auto"/>
    </w:pPr>
  </w:style>
  <w:style w:type="character" w:styleId="Verwijzingopmerking">
    <w:name w:val="annotation reference"/>
    <w:basedOn w:val="Standaardalinea-lettertype"/>
    <w:uiPriority w:val="99"/>
    <w:semiHidden/>
    <w:unhideWhenUsed/>
    <w:rsid w:val="00B4625D"/>
    <w:rPr>
      <w:sz w:val="16"/>
      <w:szCs w:val="16"/>
    </w:rPr>
  </w:style>
  <w:style w:type="paragraph" w:styleId="Tekstopmerking">
    <w:name w:val="annotation text"/>
    <w:basedOn w:val="Standaard"/>
    <w:link w:val="TekstopmerkingChar"/>
    <w:uiPriority w:val="99"/>
    <w:unhideWhenUsed/>
    <w:rsid w:val="00B4625D"/>
    <w:pPr>
      <w:spacing w:line="240" w:lineRule="auto"/>
    </w:pPr>
    <w:rPr>
      <w:sz w:val="20"/>
      <w:szCs w:val="20"/>
    </w:rPr>
  </w:style>
  <w:style w:type="character" w:customStyle="1" w:styleId="TekstopmerkingChar">
    <w:name w:val="Tekst opmerking Char"/>
    <w:basedOn w:val="Standaardalinea-lettertype"/>
    <w:link w:val="Tekstopmerking"/>
    <w:uiPriority w:val="99"/>
    <w:rsid w:val="00B4625D"/>
    <w:rPr>
      <w:sz w:val="20"/>
      <w:szCs w:val="20"/>
    </w:rPr>
  </w:style>
  <w:style w:type="paragraph" w:styleId="Onderwerpvanopmerking">
    <w:name w:val="annotation subject"/>
    <w:basedOn w:val="Tekstopmerking"/>
    <w:next w:val="Tekstopmerking"/>
    <w:link w:val="OnderwerpvanopmerkingChar"/>
    <w:uiPriority w:val="99"/>
    <w:semiHidden/>
    <w:unhideWhenUsed/>
    <w:rsid w:val="00B4625D"/>
    <w:rPr>
      <w:b/>
      <w:bCs/>
    </w:rPr>
  </w:style>
  <w:style w:type="character" w:customStyle="1" w:styleId="OnderwerpvanopmerkingChar">
    <w:name w:val="Onderwerp van opmerking Char"/>
    <w:basedOn w:val="TekstopmerkingChar"/>
    <w:link w:val="Onderwerpvanopmerking"/>
    <w:uiPriority w:val="99"/>
    <w:semiHidden/>
    <w:rsid w:val="00B462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mc.nl/wp-content/uploads/2023/06/NJB02_Nep-echt-onder-het-naburig-recht.pdf" TargetMode="External"/><Relationship Id="rId13" Type="http://schemas.openxmlformats.org/officeDocument/2006/relationships/hyperlink" Target="https://www.google.com/url?sa=t&amp;source=web&amp;rct=j&amp;opi=89978449&amp;url=https://www.autoriteitpersoonsgegevens.n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forum.nl/artikelen/naburig-recht-zou-doel-voorbijschieten-in-strijd-tegen-deepfakes-reactie-op-artikel-dirk-visser-31-juli-2025" TargetMode="External"/><Relationship Id="rId17" Type="http://schemas.openxmlformats.org/officeDocument/2006/relationships/hyperlink" Target="mailto:d.j.g.visser@law.leidenuniv.nl" TargetMode="External"/><Relationship Id="rId2" Type="http://schemas.openxmlformats.org/officeDocument/2006/relationships/numbering" Target="numbering.xml"/><Relationship Id="rId16" Type="http://schemas.openxmlformats.org/officeDocument/2006/relationships/hyperlink" Target="https://nl.wikipedia.org/wiki/Rosemarijn_Dr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blogs.wolterskluwer.com/copyright-blog/deepfake-bills-in-denmark-and-the-netherlands-right-idea-wrong-legal-framework/" TargetMode="External"/><Relationship Id="rId5" Type="http://schemas.openxmlformats.org/officeDocument/2006/relationships/webSettings" Target="webSettings.xml"/><Relationship Id="rId15" Type="http://schemas.openxmlformats.org/officeDocument/2006/relationships/hyperlink" Target="https://www.atkm.nl/" TargetMode="External"/><Relationship Id="rId10" Type="http://schemas.openxmlformats.org/officeDocument/2006/relationships/hyperlink" Target="https://www.ie-forum.nl/artikelen/the-dutch-and-danish-proposals-for-legislation-on-deepfak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lypublications.universiteitleiden.nl/handle/1887/4172305" TargetMode="External"/><Relationship Id="rId14" Type="http://schemas.openxmlformats.org/officeDocument/2006/relationships/hyperlink" Target="https://www.acm.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9E4D-398D-4096-9B6A-CEB46D4A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1029</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visser</dc:creator>
  <cp:keywords/>
  <dc:description/>
  <cp:lastModifiedBy>dirk visser</cp:lastModifiedBy>
  <cp:revision>33</cp:revision>
  <dcterms:created xsi:type="dcterms:W3CDTF">2025-08-06T10:36:00Z</dcterms:created>
  <dcterms:modified xsi:type="dcterms:W3CDTF">2025-08-06T12:05:00Z</dcterms:modified>
</cp:coreProperties>
</file>