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C199" w14:textId="77777777" w:rsidR="007B6FEC" w:rsidRPr="00B61495" w:rsidRDefault="007B6FEC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  <w:sz w:val="23"/>
          <w:szCs w:val="23"/>
          <w:shd w:val="clear" w:color="auto" w:fill="FFFFFF"/>
        </w:rPr>
      </w:pPr>
    </w:p>
    <w:p w14:paraId="3BFDA3D4" w14:textId="2C8BC3E3" w:rsidR="00EB3D02" w:rsidRDefault="5181FD10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  <w:sz w:val="28"/>
          <w:szCs w:val="28"/>
          <w:shd w:val="clear" w:color="auto" w:fill="FFFFFF"/>
        </w:rPr>
      </w:pPr>
      <w:r w:rsidRPr="00B61495">
        <w:rPr>
          <w:rFonts w:ascii="Times New Roman" w:hAnsi="Times New Roman" w:cs="Times New Roman"/>
          <w:b/>
          <w:bCs/>
          <w:color w:val="313140"/>
          <w:sz w:val="28"/>
          <w:szCs w:val="28"/>
          <w:shd w:val="clear" w:color="auto" w:fill="FFFFFF"/>
        </w:rPr>
        <w:t xml:space="preserve">Meer duidelijkheid met de vernieuwde versie van de </w:t>
      </w:r>
      <w:r w:rsidR="00EB3D02" w:rsidRPr="00B61495">
        <w:rPr>
          <w:rFonts w:ascii="Times New Roman" w:hAnsi="Times New Roman" w:cs="Times New Roman"/>
          <w:b/>
          <w:bCs/>
          <w:color w:val="313140"/>
          <w:sz w:val="28"/>
          <w:szCs w:val="28"/>
          <w:shd w:val="clear" w:color="auto" w:fill="FFFFFF"/>
        </w:rPr>
        <w:t>ACM Leidraad Duurzaamheidsclaims</w:t>
      </w:r>
    </w:p>
    <w:p w14:paraId="08E69B02" w14:textId="11D55068" w:rsidR="00652968" w:rsidRPr="00652968" w:rsidRDefault="00652968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  <w:shd w:val="clear" w:color="auto" w:fill="FFFFFF"/>
        </w:rPr>
      </w:pPr>
    </w:p>
    <w:p w14:paraId="3F7A4D7E" w14:textId="0456F22F" w:rsidR="00652968" w:rsidRPr="00652968" w:rsidRDefault="00652968" w:rsidP="002E6938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313140"/>
        </w:rPr>
      </w:pPr>
      <w:r w:rsidRPr="00652968">
        <w:rPr>
          <w:rFonts w:ascii="Times New Roman" w:hAnsi="Times New Roman" w:cs="Times New Roman"/>
          <w:i/>
          <w:iCs/>
          <w:color w:val="313140"/>
        </w:rPr>
        <w:t>Jellien Roelofs &amp; Anne-Fleur Filemon</w:t>
      </w:r>
    </w:p>
    <w:p w14:paraId="6BE09352" w14:textId="15CA849B" w:rsidR="00EB3D02" w:rsidRPr="00652968" w:rsidRDefault="031F836E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 xml:space="preserve"> </w:t>
      </w:r>
    </w:p>
    <w:p w14:paraId="6A8882C4" w14:textId="1E08FA97" w:rsidR="00EB3D02" w:rsidRPr="00652968" w:rsidRDefault="22E14D3A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00652968">
        <w:rPr>
          <w:rFonts w:ascii="Times New Roman" w:hAnsi="Times New Roman" w:cs="Times New Roman"/>
          <w:color w:val="313140"/>
        </w:rPr>
        <w:t xml:space="preserve">Op 13 juni 2023 heeft de ACM </w:t>
      </w:r>
      <w:hyperlink r:id="rId5" w:history="1">
        <w:r w:rsidRPr="0032771B">
          <w:rPr>
            <w:rStyle w:val="Hyperlink"/>
            <w:rFonts w:ascii="Times New Roman" w:hAnsi="Times New Roman" w:cs="Times New Roman"/>
          </w:rPr>
          <w:t>een vernieuwde versie van de Leidraad Duurzaamheids</w:t>
        </w:r>
        <w:r w:rsidR="00111971" w:rsidRPr="0032771B">
          <w:rPr>
            <w:rStyle w:val="Hyperlink"/>
            <w:rFonts w:ascii="Times New Roman" w:hAnsi="Times New Roman" w:cs="Times New Roman"/>
          </w:rPr>
          <w:t>claims</w:t>
        </w:r>
      </w:hyperlink>
      <w:r w:rsidRPr="00652968">
        <w:rPr>
          <w:rFonts w:ascii="Times New Roman" w:hAnsi="Times New Roman" w:cs="Times New Roman"/>
          <w:color w:val="313140"/>
        </w:rPr>
        <w:t xml:space="preserve"> uitgebracht</w:t>
      </w:r>
      <w:r w:rsidR="6E66114A" w:rsidRPr="00652968">
        <w:rPr>
          <w:rFonts w:ascii="Times New Roman" w:hAnsi="Times New Roman" w:cs="Times New Roman"/>
          <w:color w:val="313140"/>
        </w:rPr>
        <w:t>,</w:t>
      </w:r>
      <w:r w:rsidR="19646F62" w:rsidRPr="00652968">
        <w:rPr>
          <w:rFonts w:ascii="Times New Roman" w:hAnsi="Times New Roman" w:cs="Times New Roman"/>
          <w:color w:val="313140"/>
        </w:rPr>
        <w:t xml:space="preserve"> die de oude versie uit 2021 vervangt. </w:t>
      </w:r>
      <w:r w:rsidR="1B5C9958" w:rsidRPr="00652968">
        <w:rPr>
          <w:rFonts w:ascii="Times New Roman" w:hAnsi="Times New Roman" w:cs="Times New Roman"/>
          <w:color w:val="313140"/>
        </w:rPr>
        <w:t xml:space="preserve">De </w:t>
      </w:r>
      <w:r w:rsidR="236DB8E5" w:rsidRPr="00652968">
        <w:rPr>
          <w:rFonts w:ascii="Times New Roman" w:hAnsi="Times New Roman" w:cs="Times New Roman"/>
          <w:color w:val="313140"/>
        </w:rPr>
        <w:t xml:space="preserve">aanleiding </w:t>
      </w:r>
      <w:r w:rsidR="3953F122" w:rsidRPr="00652968">
        <w:rPr>
          <w:rFonts w:ascii="Times New Roman" w:hAnsi="Times New Roman" w:cs="Times New Roman"/>
          <w:color w:val="313140"/>
        </w:rPr>
        <w:t xml:space="preserve">voor de relatief snelle update </w:t>
      </w:r>
      <w:r w:rsidR="236DB8E5" w:rsidRPr="00652968">
        <w:rPr>
          <w:rFonts w:ascii="Times New Roman" w:hAnsi="Times New Roman" w:cs="Times New Roman"/>
          <w:color w:val="313140"/>
        </w:rPr>
        <w:t>waren de vele ontwikkelingen in o.a. handhavingsprocedures, rechtspraak en Europese wet- en regelgeving</w:t>
      </w:r>
      <w:r w:rsidR="0C5D6915" w:rsidRPr="00652968">
        <w:rPr>
          <w:rFonts w:ascii="Times New Roman" w:hAnsi="Times New Roman" w:cs="Times New Roman"/>
          <w:color w:val="313140"/>
        </w:rPr>
        <w:t xml:space="preserve">. Ook heeft de ACM haar eigen ervaringen en externe feedback verwerkt. </w:t>
      </w:r>
    </w:p>
    <w:p w14:paraId="444E811F" w14:textId="7C14AF86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</w:p>
    <w:p w14:paraId="08264F4D" w14:textId="32651258" w:rsidR="00EB3D02" w:rsidRPr="00652968" w:rsidRDefault="6B8EC207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00652968">
        <w:rPr>
          <w:rFonts w:ascii="Times New Roman" w:hAnsi="Times New Roman" w:cs="Times New Roman"/>
          <w:color w:val="313140"/>
        </w:rPr>
        <w:t xml:space="preserve">In dit artikel belichten we </w:t>
      </w:r>
      <w:r w:rsidR="00AC01AF" w:rsidRPr="00652968">
        <w:rPr>
          <w:rFonts w:ascii="Times New Roman" w:hAnsi="Times New Roman" w:cs="Times New Roman"/>
          <w:color w:val="313140"/>
        </w:rPr>
        <w:t>bek</w:t>
      </w:r>
      <w:r w:rsidR="003044AF" w:rsidRPr="00652968">
        <w:rPr>
          <w:rFonts w:ascii="Times New Roman" w:hAnsi="Times New Roman" w:cs="Times New Roman"/>
          <w:color w:val="313140"/>
        </w:rPr>
        <w:t>n</w:t>
      </w:r>
      <w:r w:rsidR="00AC01AF" w:rsidRPr="00652968">
        <w:rPr>
          <w:rFonts w:ascii="Times New Roman" w:hAnsi="Times New Roman" w:cs="Times New Roman"/>
          <w:color w:val="313140"/>
        </w:rPr>
        <w:t>opt</w:t>
      </w:r>
      <w:r w:rsidRPr="00652968">
        <w:rPr>
          <w:rFonts w:ascii="Times New Roman" w:hAnsi="Times New Roman" w:cs="Times New Roman"/>
          <w:color w:val="313140"/>
        </w:rPr>
        <w:t xml:space="preserve"> de belangrijkste </w:t>
      </w:r>
      <w:r w:rsidR="430A3203" w:rsidRPr="00652968">
        <w:rPr>
          <w:rFonts w:ascii="Times New Roman" w:hAnsi="Times New Roman" w:cs="Times New Roman"/>
          <w:color w:val="313140"/>
        </w:rPr>
        <w:t>aandachtspunten</w:t>
      </w:r>
      <w:r w:rsidR="003044AF" w:rsidRPr="00652968">
        <w:rPr>
          <w:rFonts w:ascii="Times New Roman" w:hAnsi="Times New Roman" w:cs="Times New Roman"/>
          <w:color w:val="313140"/>
        </w:rPr>
        <w:t xml:space="preserve"> van de vijf vuistregels </w:t>
      </w:r>
      <w:r w:rsidRPr="00652968">
        <w:rPr>
          <w:rFonts w:ascii="Times New Roman" w:hAnsi="Times New Roman" w:cs="Times New Roman"/>
          <w:color w:val="313140"/>
        </w:rPr>
        <w:t xml:space="preserve">uit de nieuwe Leidraad. </w:t>
      </w:r>
    </w:p>
    <w:p w14:paraId="2195B5C7" w14:textId="506E2D35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</w:p>
    <w:p w14:paraId="562991BD" w14:textId="732F5BDD" w:rsidR="00EB3D02" w:rsidRPr="00652968" w:rsidRDefault="6B8EC207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 xml:space="preserve">Algemeen </w:t>
      </w:r>
    </w:p>
    <w:p w14:paraId="5522B318" w14:textId="69A859AC" w:rsidR="00EB3D02" w:rsidRPr="00652968" w:rsidRDefault="453C4324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00652968">
        <w:rPr>
          <w:rFonts w:ascii="Times New Roman" w:hAnsi="Times New Roman" w:cs="Times New Roman"/>
          <w:color w:val="313140"/>
        </w:rPr>
        <w:t xml:space="preserve">De structuur van de Leidraad en </w:t>
      </w:r>
      <w:r w:rsidR="00D87D38" w:rsidRPr="00652968">
        <w:rPr>
          <w:rFonts w:ascii="Times New Roman" w:hAnsi="Times New Roman" w:cs="Times New Roman"/>
          <w:color w:val="313140"/>
        </w:rPr>
        <w:t>lay-out</w:t>
      </w:r>
      <w:r w:rsidRPr="00652968">
        <w:rPr>
          <w:rFonts w:ascii="Times New Roman" w:hAnsi="Times New Roman" w:cs="Times New Roman"/>
          <w:color w:val="313140"/>
        </w:rPr>
        <w:t xml:space="preserve"> van de tekst is aanzienlijk verbeterd, waardoor het duidelijker is welke aandachtspunten er per vuistregel gelden. </w:t>
      </w:r>
      <w:r w:rsidR="03D3A892" w:rsidRPr="00652968">
        <w:rPr>
          <w:rFonts w:ascii="Times New Roman" w:hAnsi="Times New Roman" w:cs="Times New Roman"/>
          <w:color w:val="313140"/>
        </w:rPr>
        <w:t>Gezien de ve</w:t>
      </w:r>
      <w:r w:rsidR="5E7EB6AD" w:rsidRPr="00652968">
        <w:rPr>
          <w:rFonts w:ascii="Times New Roman" w:hAnsi="Times New Roman" w:cs="Times New Roman"/>
          <w:color w:val="313140"/>
        </w:rPr>
        <w:t>le</w:t>
      </w:r>
      <w:r w:rsidR="3C11F75F" w:rsidRPr="00652968">
        <w:rPr>
          <w:rFonts w:ascii="Times New Roman" w:hAnsi="Times New Roman" w:cs="Times New Roman"/>
          <w:color w:val="313140"/>
        </w:rPr>
        <w:t xml:space="preserve"> regels waar duurzaamheidsclaims aan moeten voldoen, is het prettig om veel sneller te kunnen zien wat die regels zijn. </w:t>
      </w:r>
      <w:r w:rsidR="36EA76D2" w:rsidRPr="00652968">
        <w:rPr>
          <w:rFonts w:ascii="Times New Roman" w:hAnsi="Times New Roman" w:cs="Times New Roman"/>
          <w:color w:val="313140"/>
        </w:rPr>
        <w:t xml:space="preserve">Dit uit zich ook in een langere, maar veel duidelijkere samenvatting aan het begin van de Leidraad. </w:t>
      </w:r>
    </w:p>
    <w:p w14:paraId="42E6AEDF" w14:textId="1AFF2123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</w:p>
    <w:p w14:paraId="597F2D32" w14:textId="44816A6A" w:rsidR="00EB3D02" w:rsidRPr="00652968" w:rsidRDefault="73D50D2B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00652968">
        <w:rPr>
          <w:rFonts w:ascii="Times New Roman" w:hAnsi="Times New Roman" w:cs="Times New Roman"/>
          <w:color w:val="313140"/>
        </w:rPr>
        <w:t>Daarnaast is het aantal definities aanzienlijk uitgebreid</w:t>
      </w:r>
      <w:r w:rsidR="53ABB1E6" w:rsidRPr="00652968">
        <w:rPr>
          <w:rFonts w:ascii="Times New Roman" w:hAnsi="Times New Roman" w:cs="Times New Roman"/>
          <w:color w:val="313140"/>
        </w:rPr>
        <w:t xml:space="preserve"> en worden onder ‘Duurzaamheidsclaims’ </w:t>
      </w:r>
      <w:r w:rsidR="3DD12946" w:rsidRPr="00652968">
        <w:rPr>
          <w:rFonts w:ascii="Times New Roman" w:hAnsi="Times New Roman" w:cs="Times New Roman"/>
          <w:color w:val="313140"/>
        </w:rPr>
        <w:t>nu o</w:t>
      </w:r>
      <w:r w:rsidR="53ABB1E6" w:rsidRPr="00652968">
        <w:rPr>
          <w:rFonts w:ascii="Times New Roman" w:hAnsi="Times New Roman" w:cs="Times New Roman"/>
          <w:color w:val="313140"/>
        </w:rPr>
        <w:t xml:space="preserve">ok ‘levensduurclaims’ gerekend. Daarmee bedoelt de ACM </w:t>
      </w:r>
      <w:r w:rsidR="1CADA2D7" w:rsidRPr="00652968">
        <w:rPr>
          <w:rFonts w:ascii="Times New Roman" w:hAnsi="Times New Roman" w:cs="Times New Roman"/>
          <w:color w:val="313140"/>
        </w:rPr>
        <w:t xml:space="preserve">claims over hoe lang een product kan worden gebruikt, of een product goed te repareren is en </w:t>
      </w:r>
      <w:r w:rsidR="00AA6D79" w:rsidRPr="00652968">
        <w:rPr>
          <w:rFonts w:ascii="Times New Roman" w:hAnsi="Times New Roman" w:cs="Times New Roman"/>
          <w:color w:val="313140"/>
        </w:rPr>
        <w:t>dat</w:t>
      </w:r>
      <w:r w:rsidR="0266ABD4" w:rsidRPr="00652968">
        <w:rPr>
          <w:rFonts w:ascii="Times New Roman" w:hAnsi="Times New Roman" w:cs="Times New Roman"/>
          <w:color w:val="313140"/>
        </w:rPr>
        <w:t xml:space="preserve"> een product niet snel </w:t>
      </w:r>
      <w:r w:rsidR="7708E5A4" w:rsidRPr="00652968">
        <w:rPr>
          <w:rFonts w:ascii="Times New Roman" w:hAnsi="Times New Roman" w:cs="Times New Roman"/>
          <w:color w:val="313140"/>
        </w:rPr>
        <w:t>kapotgaat</w:t>
      </w:r>
      <w:r w:rsidR="0266ABD4" w:rsidRPr="00652968">
        <w:rPr>
          <w:rFonts w:ascii="Times New Roman" w:hAnsi="Times New Roman" w:cs="Times New Roman"/>
          <w:color w:val="313140"/>
        </w:rPr>
        <w:t xml:space="preserve">. </w:t>
      </w:r>
    </w:p>
    <w:p w14:paraId="6461DD01" w14:textId="6E753B83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</w:p>
    <w:p w14:paraId="712FF189" w14:textId="779FD9D4" w:rsidR="00EB3D02" w:rsidRPr="00652968" w:rsidRDefault="59471D00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00652968">
        <w:rPr>
          <w:rFonts w:ascii="Times New Roman" w:hAnsi="Times New Roman" w:cs="Times New Roman"/>
          <w:color w:val="313140"/>
        </w:rPr>
        <w:t xml:space="preserve">Verder worden meer relevante voorbeelden gebruikt om te duiden wat wel en wat juist niet is toegestaan. </w:t>
      </w:r>
    </w:p>
    <w:p w14:paraId="7F672EC8" w14:textId="2DA6D674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</w:p>
    <w:p w14:paraId="358E2EE1" w14:textId="331F5073" w:rsidR="00EB3D02" w:rsidRPr="00652968" w:rsidRDefault="6B8EC207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>Vuistregel 1</w:t>
      </w:r>
      <w:r w:rsidR="35B5912B" w:rsidRPr="00652968">
        <w:rPr>
          <w:rFonts w:ascii="Times New Roman" w:hAnsi="Times New Roman" w:cs="Times New Roman"/>
          <w:b/>
          <w:bCs/>
          <w:color w:val="313140"/>
        </w:rPr>
        <w:t xml:space="preserve"> – Gebruik juiste, duidelijke, specifieke en volledige duurzaamheidsclaims</w:t>
      </w:r>
    </w:p>
    <w:p w14:paraId="16CEE1A5" w14:textId="5706766D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31F69280" w14:textId="4D1B1D7D" w:rsidR="00EB3D02" w:rsidRPr="00652968" w:rsidRDefault="35B5912B" w:rsidP="002E6938">
      <w:pPr>
        <w:pStyle w:val="Lijstalinea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>Vuistregel zelf opnieuw geformuleerd</w:t>
      </w:r>
    </w:p>
    <w:p w14:paraId="085093F8" w14:textId="67D05885" w:rsidR="00EB3D02" w:rsidRPr="00652968" w:rsidRDefault="69FB7365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52968">
        <w:rPr>
          <w:rFonts w:ascii="Times New Roman" w:eastAsia="Calibri" w:hAnsi="Times New Roman" w:cs="Times New Roman"/>
        </w:rPr>
        <w:t xml:space="preserve">Vuistregel 1 was </w:t>
      </w:r>
      <w:r w:rsidR="003044AF" w:rsidRPr="00652968">
        <w:rPr>
          <w:rFonts w:ascii="Times New Roman" w:eastAsia="Calibri" w:hAnsi="Times New Roman" w:cs="Times New Roman"/>
        </w:rPr>
        <w:t>in de oude versie</w:t>
      </w:r>
      <w:r w:rsidRPr="00652968">
        <w:rPr>
          <w:rFonts w:ascii="Times New Roman" w:eastAsia="Calibri" w:hAnsi="Times New Roman" w:cs="Times New Roman"/>
        </w:rPr>
        <w:t xml:space="preserve"> geformuleerd als </w:t>
      </w:r>
      <w:r w:rsidRPr="00652968">
        <w:rPr>
          <w:rFonts w:ascii="Times New Roman" w:eastAsia="Calibri" w:hAnsi="Times New Roman" w:cs="Times New Roman"/>
          <w:i/>
          <w:iCs/>
        </w:rPr>
        <w:t xml:space="preserve">‘Maak duidelijk welk </w:t>
      </w:r>
      <w:r w:rsidR="33D9126D" w:rsidRPr="00652968">
        <w:rPr>
          <w:rFonts w:ascii="Times New Roman" w:eastAsia="Calibri" w:hAnsi="Times New Roman" w:cs="Times New Roman"/>
          <w:i/>
          <w:iCs/>
        </w:rPr>
        <w:t>d</w:t>
      </w:r>
      <w:r w:rsidRPr="00652968">
        <w:rPr>
          <w:rFonts w:ascii="Times New Roman" w:eastAsia="Calibri" w:hAnsi="Times New Roman" w:cs="Times New Roman"/>
          <w:i/>
          <w:iCs/>
        </w:rPr>
        <w:t>uurzaamheidsvoordeel het product heeft’</w:t>
      </w:r>
      <w:r w:rsidRPr="00652968">
        <w:rPr>
          <w:rFonts w:ascii="Times New Roman" w:eastAsia="Calibri" w:hAnsi="Times New Roman" w:cs="Times New Roman"/>
        </w:rPr>
        <w:t xml:space="preserve">. </w:t>
      </w:r>
      <w:r w:rsidR="00B61495" w:rsidRPr="00652968">
        <w:rPr>
          <w:rFonts w:ascii="Times New Roman" w:eastAsia="Calibri" w:hAnsi="Times New Roman" w:cs="Times New Roman"/>
        </w:rPr>
        <w:t xml:space="preserve">Duidelijk maken welk duurzaamheidsvoorstel het product heeft is in de nieuwe versie </w:t>
      </w:r>
      <w:r w:rsidR="70C09461" w:rsidRPr="00652968">
        <w:rPr>
          <w:rFonts w:ascii="Times New Roman" w:eastAsia="Calibri" w:hAnsi="Times New Roman" w:cs="Times New Roman"/>
        </w:rPr>
        <w:t xml:space="preserve">onderdeel van het vereiste dat een duurzaamheidsclaim ‘specifiek’ moet zijn. </w:t>
      </w:r>
    </w:p>
    <w:p w14:paraId="3EE0DC54" w14:textId="77777777" w:rsidR="00B61495" w:rsidRPr="00652968" w:rsidRDefault="00B61495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2953A0B" w14:textId="12007AA0" w:rsidR="00EB3D02" w:rsidRPr="00652968" w:rsidRDefault="45876F91" w:rsidP="002E6938">
      <w:pPr>
        <w:pStyle w:val="Lijstalinea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>6 ‘</w:t>
      </w:r>
      <w:proofErr w:type="spellStart"/>
      <w:r w:rsidRPr="00652968">
        <w:rPr>
          <w:rFonts w:ascii="Times New Roman" w:eastAsia="Calibri" w:hAnsi="Times New Roman" w:cs="Times New Roman"/>
          <w:b/>
          <w:bCs/>
        </w:rPr>
        <w:t>subvereisten</w:t>
      </w:r>
      <w:proofErr w:type="spellEnd"/>
      <w:r w:rsidRPr="00652968">
        <w:rPr>
          <w:rFonts w:ascii="Times New Roman" w:eastAsia="Calibri" w:hAnsi="Times New Roman" w:cs="Times New Roman"/>
          <w:b/>
          <w:bCs/>
        </w:rPr>
        <w:t>’</w:t>
      </w:r>
    </w:p>
    <w:p w14:paraId="5590805D" w14:textId="0AA896B4" w:rsidR="00EB3D02" w:rsidRPr="00652968" w:rsidRDefault="6A31EEE9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33BB7A70">
        <w:rPr>
          <w:rFonts w:ascii="Times New Roman" w:eastAsia="Calibri" w:hAnsi="Times New Roman" w:cs="Times New Roman"/>
        </w:rPr>
        <w:t xml:space="preserve">Er gelden zes </w:t>
      </w:r>
      <w:proofErr w:type="spellStart"/>
      <w:r w:rsidRPr="33BB7A70">
        <w:rPr>
          <w:rFonts w:ascii="Times New Roman" w:eastAsia="Calibri" w:hAnsi="Times New Roman" w:cs="Times New Roman"/>
        </w:rPr>
        <w:t>subvereisten</w:t>
      </w:r>
      <w:proofErr w:type="spellEnd"/>
      <w:r w:rsidRPr="33BB7A70">
        <w:rPr>
          <w:rFonts w:ascii="Times New Roman" w:eastAsia="Calibri" w:hAnsi="Times New Roman" w:cs="Times New Roman"/>
        </w:rPr>
        <w:t xml:space="preserve"> </w:t>
      </w:r>
      <w:r w:rsidR="2E377D4B" w:rsidRPr="33BB7A70">
        <w:rPr>
          <w:rFonts w:ascii="Times New Roman" w:eastAsia="Calibri" w:hAnsi="Times New Roman" w:cs="Times New Roman"/>
        </w:rPr>
        <w:t xml:space="preserve">waarvan </w:t>
      </w:r>
      <w:r w:rsidRPr="33BB7A70">
        <w:rPr>
          <w:rFonts w:ascii="Times New Roman" w:eastAsia="Calibri" w:hAnsi="Times New Roman" w:cs="Times New Roman"/>
        </w:rPr>
        <w:t xml:space="preserve">drie </w:t>
      </w:r>
      <w:r w:rsidR="39BAC5B8" w:rsidRPr="33BB7A70">
        <w:rPr>
          <w:rFonts w:ascii="Times New Roman" w:eastAsia="Calibri" w:hAnsi="Times New Roman" w:cs="Times New Roman"/>
        </w:rPr>
        <w:t>letterlijk</w:t>
      </w:r>
      <w:r w:rsidR="4B163644" w:rsidRPr="33BB7A70">
        <w:rPr>
          <w:rFonts w:ascii="Times New Roman" w:eastAsia="Calibri" w:hAnsi="Times New Roman" w:cs="Times New Roman"/>
        </w:rPr>
        <w:t xml:space="preserve"> zelf </w:t>
      </w:r>
      <w:r w:rsidR="39BAC5B8" w:rsidRPr="33BB7A70">
        <w:rPr>
          <w:rFonts w:ascii="Times New Roman" w:eastAsia="Calibri" w:hAnsi="Times New Roman" w:cs="Times New Roman"/>
        </w:rPr>
        <w:t xml:space="preserve">in de Vuistregel </w:t>
      </w:r>
      <w:r w:rsidR="62E40257" w:rsidRPr="33BB7A70">
        <w:rPr>
          <w:rFonts w:ascii="Times New Roman" w:eastAsia="Calibri" w:hAnsi="Times New Roman" w:cs="Times New Roman"/>
        </w:rPr>
        <w:t>worden benoemd</w:t>
      </w:r>
      <w:r w:rsidRPr="33BB7A70">
        <w:rPr>
          <w:rFonts w:ascii="Times New Roman" w:eastAsia="Calibri" w:hAnsi="Times New Roman" w:cs="Times New Roman"/>
        </w:rPr>
        <w:t>, namelijk</w:t>
      </w:r>
      <w:r w:rsidR="0E9506FE" w:rsidRPr="33BB7A70">
        <w:rPr>
          <w:rFonts w:ascii="Times New Roman" w:eastAsia="Calibri" w:hAnsi="Times New Roman" w:cs="Times New Roman"/>
        </w:rPr>
        <w:t>:</w:t>
      </w:r>
      <w:r w:rsidRPr="33BB7A70">
        <w:rPr>
          <w:rFonts w:ascii="Times New Roman" w:eastAsia="Calibri" w:hAnsi="Times New Roman" w:cs="Times New Roman"/>
        </w:rPr>
        <w:t xml:space="preserve"> </w:t>
      </w:r>
      <w:r w:rsidR="39BAC5B8" w:rsidRPr="33BB7A70">
        <w:rPr>
          <w:rFonts w:ascii="Times New Roman" w:eastAsia="Calibri" w:hAnsi="Times New Roman" w:cs="Times New Roman"/>
        </w:rPr>
        <w:t xml:space="preserve">juist, duidelijk en specifiek. Wat met </w:t>
      </w:r>
      <w:r w:rsidR="22703853" w:rsidRPr="33BB7A70">
        <w:rPr>
          <w:rFonts w:ascii="Times New Roman" w:eastAsia="Calibri" w:hAnsi="Times New Roman" w:cs="Times New Roman"/>
        </w:rPr>
        <w:t xml:space="preserve">de vierde </w:t>
      </w:r>
      <w:r w:rsidR="4FCCE54E" w:rsidRPr="33BB7A70">
        <w:rPr>
          <w:rFonts w:ascii="Times New Roman" w:eastAsia="Calibri" w:hAnsi="Times New Roman" w:cs="Times New Roman"/>
        </w:rPr>
        <w:t xml:space="preserve">term </w:t>
      </w:r>
      <w:r w:rsidR="22703853" w:rsidRPr="33BB7A70">
        <w:rPr>
          <w:rFonts w:ascii="Times New Roman" w:eastAsia="Calibri" w:hAnsi="Times New Roman" w:cs="Times New Roman"/>
        </w:rPr>
        <w:t>(</w:t>
      </w:r>
      <w:r w:rsidR="39BAC5B8" w:rsidRPr="33BB7A70">
        <w:rPr>
          <w:rFonts w:ascii="Times New Roman" w:eastAsia="Calibri" w:hAnsi="Times New Roman" w:cs="Times New Roman"/>
        </w:rPr>
        <w:t>‘volledig’</w:t>
      </w:r>
      <w:r w:rsidR="2A093E00" w:rsidRPr="33BB7A70">
        <w:rPr>
          <w:rFonts w:ascii="Times New Roman" w:eastAsia="Calibri" w:hAnsi="Times New Roman" w:cs="Times New Roman"/>
        </w:rPr>
        <w:t>)</w:t>
      </w:r>
      <w:r w:rsidR="39BAC5B8" w:rsidRPr="33BB7A70">
        <w:rPr>
          <w:rFonts w:ascii="Times New Roman" w:eastAsia="Calibri" w:hAnsi="Times New Roman" w:cs="Times New Roman"/>
        </w:rPr>
        <w:t xml:space="preserve"> wo</w:t>
      </w:r>
      <w:r w:rsidR="1C9E28C8" w:rsidRPr="33BB7A70">
        <w:rPr>
          <w:rFonts w:ascii="Times New Roman" w:eastAsia="Calibri" w:hAnsi="Times New Roman" w:cs="Times New Roman"/>
        </w:rPr>
        <w:t>rdt bedoeld,</w:t>
      </w:r>
      <w:r w:rsidR="51E3D1C2" w:rsidRPr="33BB7A70">
        <w:rPr>
          <w:rFonts w:ascii="Times New Roman" w:eastAsia="Calibri" w:hAnsi="Times New Roman" w:cs="Times New Roman"/>
        </w:rPr>
        <w:t xml:space="preserve"> is niet direct duidelijk. </w:t>
      </w:r>
      <w:r w:rsidR="16CCD149" w:rsidRPr="33BB7A70">
        <w:rPr>
          <w:rFonts w:ascii="Times New Roman" w:eastAsia="Calibri" w:hAnsi="Times New Roman" w:cs="Times New Roman"/>
        </w:rPr>
        <w:t xml:space="preserve">De ACM benadrukt in ieder geval dat </w:t>
      </w:r>
      <w:r w:rsidR="272CDD94" w:rsidRPr="33BB7A70">
        <w:rPr>
          <w:rFonts w:ascii="Times New Roman" w:eastAsia="Calibri" w:hAnsi="Times New Roman" w:cs="Times New Roman"/>
        </w:rPr>
        <w:t>men zich bewust</w:t>
      </w:r>
      <w:r w:rsidR="51E3D1C2" w:rsidRPr="33BB7A70">
        <w:rPr>
          <w:rFonts w:ascii="Times New Roman" w:hAnsi="Times New Roman" w:cs="Times New Roman"/>
        </w:rPr>
        <w:t xml:space="preserve"> moet zijn</w:t>
      </w:r>
      <w:r w:rsidR="272CDD94" w:rsidRPr="33BB7A70">
        <w:rPr>
          <w:rFonts w:ascii="Times New Roman" w:eastAsia="Calibri" w:hAnsi="Times New Roman" w:cs="Times New Roman"/>
        </w:rPr>
        <w:t xml:space="preserve"> van de algehele indruk die de claim wekt door de woordcombinatie en het beeldmateriaal. </w:t>
      </w:r>
      <w:r w:rsidR="29444909" w:rsidRPr="33BB7A70">
        <w:rPr>
          <w:rFonts w:ascii="Times New Roman" w:eastAsia="Calibri" w:hAnsi="Times New Roman" w:cs="Times New Roman"/>
        </w:rPr>
        <w:t>Een ander belangrijk aandachtspunt is d</w:t>
      </w:r>
      <w:r w:rsidR="640D0A9D" w:rsidRPr="33BB7A70">
        <w:rPr>
          <w:rFonts w:ascii="Times New Roman" w:eastAsia="Calibri" w:hAnsi="Times New Roman" w:cs="Times New Roman"/>
        </w:rPr>
        <w:t>at wettelijke</w:t>
      </w:r>
      <w:r w:rsidR="0EECE54C" w:rsidRPr="33BB7A70">
        <w:rPr>
          <w:rFonts w:ascii="Times New Roman" w:eastAsia="Calibri" w:hAnsi="Times New Roman" w:cs="Times New Roman"/>
        </w:rPr>
        <w:t xml:space="preserve"> </w:t>
      </w:r>
      <w:r w:rsidR="640D0A9D" w:rsidRPr="33BB7A70">
        <w:rPr>
          <w:rFonts w:ascii="Times New Roman" w:eastAsia="Calibri" w:hAnsi="Times New Roman" w:cs="Times New Roman"/>
        </w:rPr>
        <w:t>verplichtingen of standaardkenmerken niet als duurzaamheidsvoordelen gepre</w:t>
      </w:r>
      <w:r w:rsidR="52CBEB9C" w:rsidRPr="33BB7A70">
        <w:rPr>
          <w:rFonts w:ascii="Times New Roman" w:eastAsia="Calibri" w:hAnsi="Times New Roman" w:cs="Times New Roman"/>
        </w:rPr>
        <w:t xml:space="preserve">senteerd mogen worden. </w:t>
      </w:r>
    </w:p>
    <w:p w14:paraId="1E918A46" w14:textId="4F7978E2" w:rsidR="00EB3D02" w:rsidRPr="00652968" w:rsidRDefault="4C26FE04" w:rsidP="002E6938">
      <w:pPr>
        <w:pStyle w:val="Lijstalinea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 xml:space="preserve">Algemene of absolute termen meestal misleidend </w:t>
      </w:r>
    </w:p>
    <w:p w14:paraId="35F2A653" w14:textId="44FAC483" w:rsidR="00EB3D02" w:rsidRPr="00652968" w:rsidRDefault="2FFB3C68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33BB7A70">
        <w:rPr>
          <w:rFonts w:ascii="Times New Roman" w:eastAsia="Calibri" w:hAnsi="Times New Roman" w:cs="Times New Roman"/>
        </w:rPr>
        <w:t xml:space="preserve">De ACM benadrukt meermaals dat </w:t>
      </w:r>
      <w:r w:rsidR="0EECE54C" w:rsidRPr="33BB7A70">
        <w:rPr>
          <w:rFonts w:ascii="Times New Roman" w:eastAsia="Calibri" w:hAnsi="Times New Roman" w:cs="Times New Roman"/>
        </w:rPr>
        <w:t>algemene of absolute</w:t>
      </w:r>
      <w:r w:rsidRPr="33BB7A70">
        <w:rPr>
          <w:rFonts w:ascii="Times New Roman" w:eastAsia="Calibri" w:hAnsi="Times New Roman" w:cs="Times New Roman"/>
        </w:rPr>
        <w:t xml:space="preserve"> claims snel voor verwarring </w:t>
      </w:r>
      <w:r w:rsidR="3CC5DCF2" w:rsidRPr="33BB7A70">
        <w:rPr>
          <w:rFonts w:ascii="Times New Roman" w:eastAsia="Calibri" w:hAnsi="Times New Roman" w:cs="Times New Roman"/>
        </w:rPr>
        <w:t xml:space="preserve">zorgen en dat de bewijslast </w:t>
      </w:r>
      <w:r w:rsidR="4549E163" w:rsidRPr="33BB7A70">
        <w:rPr>
          <w:rFonts w:ascii="Times New Roman" w:eastAsia="Calibri" w:hAnsi="Times New Roman" w:cs="Times New Roman"/>
        </w:rPr>
        <w:t xml:space="preserve">nagenoeg onhaalbaar hoog is, omdat </w:t>
      </w:r>
      <w:r w:rsidR="0EECE54C" w:rsidRPr="33BB7A70">
        <w:rPr>
          <w:rFonts w:ascii="Times New Roman" w:eastAsia="Calibri" w:hAnsi="Times New Roman" w:cs="Times New Roman"/>
        </w:rPr>
        <w:t xml:space="preserve">snel </w:t>
      </w:r>
      <w:r w:rsidR="4549E163" w:rsidRPr="33BB7A70">
        <w:rPr>
          <w:rFonts w:ascii="Times New Roman" w:eastAsia="Calibri" w:hAnsi="Times New Roman" w:cs="Times New Roman"/>
        </w:rPr>
        <w:t xml:space="preserve">de indruk gewekt </w:t>
      </w:r>
      <w:r w:rsidR="0EECE54C" w:rsidRPr="33BB7A70">
        <w:rPr>
          <w:rFonts w:ascii="Times New Roman" w:eastAsia="Calibri" w:hAnsi="Times New Roman" w:cs="Times New Roman"/>
        </w:rPr>
        <w:t>wordt</w:t>
      </w:r>
      <w:r w:rsidR="0EECE54C" w:rsidRPr="33BB7A70">
        <w:rPr>
          <w:rFonts w:ascii="Times New Roman" w:hAnsi="Times New Roman" w:cs="Times New Roman"/>
        </w:rPr>
        <w:t xml:space="preserve"> dat er geen</w:t>
      </w:r>
      <w:r w:rsidR="4549E163" w:rsidRPr="33BB7A70">
        <w:rPr>
          <w:rFonts w:ascii="Times New Roman" w:eastAsia="Calibri" w:hAnsi="Times New Roman" w:cs="Times New Roman"/>
        </w:rPr>
        <w:t xml:space="preserve"> negatieve invloed zou zi</w:t>
      </w:r>
      <w:r w:rsidR="128E3E6D" w:rsidRPr="33BB7A70">
        <w:rPr>
          <w:rFonts w:ascii="Times New Roman" w:eastAsia="Calibri" w:hAnsi="Times New Roman" w:cs="Times New Roman"/>
        </w:rPr>
        <w:t xml:space="preserve">jn op mens, dier en/of milieu. </w:t>
      </w:r>
      <w:r w:rsidR="108FA97C" w:rsidRPr="33BB7A70">
        <w:rPr>
          <w:rFonts w:ascii="Times New Roman" w:eastAsia="Calibri" w:hAnsi="Times New Roman" w:cs="Times New Roman"/>
        </w:rPr>
        <w:t xml:space="preserve">Zie voor toelichting op de bewijslast Vuistregel 2. </w:t>
      </w:r>
    </w:p>
    <w:p w14:paraId="3FAFEBF5" w14:textId="77777777" w:rsidR="009C229C" w:rsidRPr="00652968" w:rsidRDefault="009C229C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2581350" w14:textId="1FCB005B" w:rsidR="00EB3D02" w:rsidRPr="00652968" w:rsidRDefault="2FFB3C68" w:rsidP="002E6938">
      <w:pPr>
        <w:pStyle w:val="Lijstalinea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33BB7A70">
        <w:rPr>
          <w:rFonts w:ascii="Times New Roman" w:eastAsia="Calibri" w:hAnsi="Times New Roman" w:cs="Times New Roman"/>
          <w:b/>
          <w:bCs/>
        </w:rPr>
        <w:t xml:space="preserve">Extra aandacht voor </w:t>
      </w:r>
      <w:r w:rsidR="51F7493C" w:rsidRPr="33BB7A70">
        <w:rPr>
          <w:rFonts w:ascii="Times New Roman" w:eastAsia="Calibri" w:hAnsi="Times New Roman" w:cs="Times New Roman"/>
          <w:b/>
          <w:bCs/>
        </w:rPr>
        <w:t xml:space="preserve">de termen </w:t>
      </w:r>
      <w:r w:rsidR="3AC1AD05" w:rsidRPr="33BB7A70">
        <w:rPr>
          <w:rFonts w:ascii="Times New Roman" w:eastAsia="Calibri" w:hAnsi="Times New Roman" w:cs="Times New Roman"/>
          <w:b/>
          <w:bCs/>
        </w:rPr>
        <w:t>‘CO2-compensatie’en ‘biologisch’</w:t>
      </w:r>
    </w:p>
    <w:p w14:paraId="3A39FEE7" w14:textId="1D304B4E" w:rsidR="00EB3D02" w:rsidRPr="00652968" w:rsidRDefault="2AE070BD" w:rsidP="002E693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33BB7A70">
        <w:rPr>
          <w:rFonts w:ascii="Times New Roman" w:hAnsi="Times New Roman" w:cs="Times New Roman"/>
        </w:rPr>
        <w:t>CO2-compensatie en biologisch kregen ook onder de oude</w:t>
      </w:r>
      <w:r w:rsidR="3AC1AD05" w:rsidRPr="33BB7A70">
        <w:rPr>
          <w:rFonts w:ascii="Times New Roman" w:hAnsi="Times New Roman" w:cs="Times New Roman"/>
        </w:rPr>
        <w:t xml:space="preserve"> Leidraad al aparte aandacht </w:t>
      </w:r>
      <w:r w:rsidR="3D92B67B" w:rsidRPr="33BB7A70">
        <w:rPr>
          <w:rFonts w:ascii="Times New Roman" w:hAnsi="Times New Roman" w:cs="Times New Roman"/>
        </w:rPr>
        <w:t xml:space="preserve">en </w:t>
      </w:r>
      <w:r w:rsidR="3AC1AD05" w:rsidRPr="33BB7A70">
        <w:rPr>
          <w:rFonts w:ascii="Times New Roman" w:hAnsi="Times New Roman" w:cs="Times New Roman"/>
        </w:rPr>
        <w:t>worden</w:t>
      </w:r>
      <w:r w:rsidRPr="33BB7A70">
        <w:rPr>
          <w:rFonts w:ascii="Times New Roman" w:hAnsi="Times New Roman" w:cs="Times New Roman"/>
        </w:rPr>
        <w:t xml:space="preserve"> in de nieuwe</w:t>
      </w:r>
      <w:r w:rsidR="3AC1AD05" w:rsidRPr="33BB7A70">
        <w:rPr>
          <w:rFonts w:ascii="Times New Roman" w:hAnsi="Times New Roman" w:cs="Times New Roman"/>
        </w:rPr>
        <w:t xml:space="preserve"> </w:t>
      </w:r>
      <w:r w:rsidR="009C229C">
        <w:tab/>
      </w:r>
      <w:r w:rsidR="3AC1AD05" w:rsidRPr="33BB7A70">
        <w:rPr>
          <w:rFonts w:ascii="Times New Roman" w:hAnsi="Times New Roman" w:cs="Times New Roman"/>
        </w:rPr>
        <w:t xml:space="preserve">nog </w:t>
      </w:r>
      <w:r w:rsidR="4E845D6C" w:rsidRPr="33BB7A70">
        <w:rPr>
          <w:rFonts w:ascii="Times New Roman" w:hAnsi="Times New Roman" w:cs="Times New Roman"/>
        </w:rPr>
        <w:t xml:space="preserve">eens </w:t>
      </w:r>
      <w:r w:rsidR="3AC1AD05" w:rsidRPr="33BB7A70">
        <w:rPr>
          <w:rFonts w:ascii="Times New Roman" w:hAnsi="Times New Roman" w:cs="Times New Roman"/>
        </w:rPr>
        <w:t xml:space="preserve">duidelijk uitgelicht. Aan deze (en sommige andere) termen worden extra eisen of wettelijke bescherming verbonden. </w:t>
      </w:r>
      <w:r w:rsidR="2703A719" w:rsidRPr="33BB7A70">
        <w:rPr>
          <w:rFonts w:ascii="Times New Roman" w:hAnsi="Times New Roman" w:cs="Times New Roman"/>
        </w:rPr>
        <w:t xml:space="preserve">Aan het maken van CO2-compensatieclaims stelt de ACM strenge </w:t>
      </w:r>
      <w:r w:rsidR="6CDA6E81" w:rsidRPr="33BB7A70">
        <w:rPr>
          <w:rFonts w:ascii="Times New Roman" w:hAnsi="Times New Roman" w:cs="Times New Roman"/>
        </w:rPr>
        <w:t xml:space="preserve">eisen. Uit onderzoek van de ACM bleek dat </w:t>
      </w:r>
      <w:r w:rsidR="6FDAFF41" w:rsidRPr="33BB7A70">
        <w:rPr>
          <w:rFonts w:ascii="Times New Roman" w:hAnsi="Times New Roman" w:cs="Times New Roman"/>
        </w:rPr>
        <w:t xml:space="preserve">het concept van CO2-compensatie en klimaatneutraliteit onduidelijk is voor consumenten. </w:t>
      </w:r>
    </w:p>
    <w:p w14:paraId="712AE0FA" w14:textId="5C8BD9AD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08A9C549" w14:textId="0A3000FD" w:rsidR="00EB3D02" w:rsidRPr="00652968" w:rsidRDefault="6B8EC207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>Vuistregel 2</w:t>
      </w:r>
      <w:r w:rsidR="38998F99" w:rsidRPr="00652968">
        <w:rPr>
          <w:rFonts w:ascii="Times New Roman" w:hAnsi="Times New Roman" w:cs="Times New Roman"/>
          <w:b/>
          <w:bCs/>
          <w:color w:val="313140"/>
        </w:rPr>
        <w:t xml:space="preserve"> – Onderbouw duurzaamheidsclaims met feiten en houd ze actueel </w:t>
      </w:r>
    </w:p>
    <w:p w14:paraId="4163A46F" w14:textId="77777777" w:rsidR="00814E4F" w:rsidRPr="00652968" w:rsidRDefault="00814E4F" w:rsidP="00814E4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26A80B72" w14:textId="0326CA64" w:rsidR="00814E4F" w:rsidRPr="00652968" w:rsidRDefault="00AD2B09" w:rsidP="00814E4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>Drie aandachtspunten</w:t>
      </w:r>
    </w:p>
    <w:p w14:paraId="022F11BC" w14:textId="66E34C59" w:rsidR="00AD2B09" w:rsidRPr="00652968" w:rsidRDefault="00AD2B09" w:rsidP="00AD2B0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52968">
        <w:rPr>
          <w:rFonts w:ascii="Times New Roman" w:eastAsia="Calibri" w:hAnsi="Times New Roman" w:cs="Times New Roman"/>
        </w:rPr>
        <w:lastRenderedPageBreak/>
        <w:t xml:space="preserve">De ACM </w:t>
      </w:r>
      <w:r w:rsidR="00283ECC" w:rsidRPr="00652968">
        <w:rPr>
          <w:rFonts w:ascii="Times New Roman" w:eastAsia="Calibri" w:hAnsi="Times New Roman" w:cs="Times New Roman"/>
        </w:rPr>
        <w:t xml:space="preserve">beschrijft drie aandachtspunten voor de onderbouwing van een duurzaamheidsclaim, namelijk gebruik een specifieke duurzaamheidsclaims, leg de </w:t>
      </w:r>
      <w:r w:rsidR="00B24FCA" w:rsidRPr="00652968">
        <w:rPr>
          <w:rFonts w:ascii="Times New Roman" w:eastAsia="Calibri" w:hAnsi="Times New Roman" w:cs="Times New Roman"/>
        </w:rPr>
        <w:t>duurzaamheidsclaim uit en zorg voor bewijs ter onderbouwing.</w:t>
      </w:r>
    </w:p>
    <w:p w14:paraId="38F4D503" w14:textId="77777777" w:rsidR="00EF2D88" w:rsidRPr="00652968" w:rsidRDefault="00EF2D88" w:rsidP="00AD2B09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29217702" w14:textId="34ED3F3C" w:rsidR="00814E4F" w:rsidRPr="00652968" w:rsidRDefault="00EF2D88" w:rsidP="00814E4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>Specifiek vs. absoluut/algemeen/vaag</w:t>
      </w:r>
    </w:p>
    <w:p w14:paraId="7ED7CA64" w14:textId="0F046B23" w:rsidR="00EF2D88" w:rsidRPr="00652968" w:rsidRDefault="5A6AA2B9" w:rsidP="33BB7A7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33BB7A70">
        <w:rPr>
          <w:rFonts w:ascii="Times New Roman" w:eastAsia="Calibri" w:hAnsi="Times New Roman" w:cs="Times New Roman"/>
        </w:rPr>
        <w:t>Een specifieke claim is iets anders dan een absolute</w:t>
      </w:r>
      <w:r w:rsidR="0D744080" w:rsidRPr="33BB7A70">
        <w:rPr>
          <w:rFonts w:ascii="Times New Roman" w:eastAsia="Calibri" w:hAnsi="Times New Roman" w:cs="Times New Roman"/>
        </w:rPr>
        <w:t xml:space="preserve">. </w:t>
      </w:r>
      <w:r w:rsidR="01FD6F55" w:rsidRPr="33BB7A70">
        <w:rPr>
          <w:rFonts w:ascii="Times New Roman" w:eastAsia="Calibri" w:hAnsi="Times New Roman" w:cs="Times New Roman"/>
        </w:rPr>
        <w:t xml:space="preserve">Een duurzaamheidsclaim moet specifiek geformuleerd worden en daarmee </w:t>
      </w:r>
      <w:r w:rsidR="4FDD0CFE" w:rsidRPr="33BB7A70">
        <w:rPr>
          <w:rFonts w:ascii="Times New Roman" w:eastAsia="Calibri" w:hAnsi="Times New Roman" w:cs="Times New Roman"/>
        </w:rPr>
        <w:t xml:space="preserve">moet het duurzaamheidsvoordeel </w:t>
      </w:r>
      <w:r w:rsidR="01FD6F55" w:rsidRPr="33BB7A70">
        <w:rPr>
          <w:rFonts w:ascii="Times New Roman" w:eastAsia="Calibri" w:hAnsi="Times New Roman" w:cs="Times New Roman"/>
        </w:rPr>
        <w:t xml:space="preserve">direct duidelijk </w:t>
      </w:r>
      <w:r w:rsidR="4FDD0CFE" w:rsidRPr="33BB7A70">
        <w:rPr>
          <w:rFonts w:ascii="Times New Roman" w:eastAsia="Calibri" w:hAnsi="Times New Roman" w:cs="Times New Roman"/>
        </w:rPr>
        <w:t>zijn</w:t>
      </w:r>
      <w:r w:rsidR="01FD6F55" w:rsidRPr="33BB7A70">
        <w:rPr>
          <w:rFonts w:ascii="Times New Roman" w:eastAsia="Calibri" w:hAnsi="Times New Roman" w:cs="Times New Roman"/>
        </w:rPr>
        <w:t xml:space="preserve">. </w:t>
      </w:r>
      <w:r w:rsidR="4FDD0CFE" w:rsidRPr="33BB7A70">
        <w:rPr>
          <w:rFonts w:ascii="Times New Roman" w:eastAsia="Calibri" w:hAnsi="Times New Roman" w:cs="Times New Roman"/>
        </w:rPr>
        <w:t>Dat voorkomt misleiding.</w:t>
      </w:r>
      <w:r w:rsidRPr="33BB7A70">
        <w:rPr>
          <w:rFonts w:ascii="Times New Roman" w:eastAsia="Calibri" w:hAnsi="Times New Roman" w:cs="Times New Roman"/>
        </w:rPr>
        <w:t xml:space="preserve"> </w:t>
      </w:r>
      <w:r w:rsidR="7A53E8C5" w:rsidRPr="33BB7A70">
        <w:rPr>
          <w:rFonts w:ascii="Times New Roman" w:eastAsia="Calibri" w:hAnsi="Times New Roman" w:cs="Times New Roman"/>
        </w:rPr>
        <w:t>Als</w:t>
      </w:r>
      <w:r w:rsidR="2ED23987" w:rsidRPr="33BB7A70">
        <w:rPr>
          <w:rFonts w:ascii="Times New Roman" w:eastAsia="Calibri" w:hAnsi="Times New Roman" w:cs="Times New Roman"/>
        </w:rPr>
        <w:t xml:space="preserve"> de grootte van</w:t>
      </w:r>
      <w:r w:rsidR="7A53E8C5" w:rsidRPr="33BB7A70">
        <w:rPr>
          <w:rFonts w:ascii="Times New Roman" w:eastAsia="Calibri" w:hAnsi="Times New Roman" w:cs="Times New Roman"/>
        </w:rPr>
        <w:t xml:space="preserve"> het duurzaamheidsvoordeel onduidelijk is</w:t>
      </w:r>
      <w:r w:rsidR="2ED23987" w:rsidRPr="33BB7A70">
        <w:rPr>
          <w:rFonts w:ascii="Times New Roman" w:eastAsia="Calibri" w:hAnsi="Times New Roman" w:cs="Times New Roman"/>
        </w:rPr>
        <w:t xml:space="preserve"> </w:t>
      </w:r>
      <w:r w:rsidR="31431E2F" w:rsidRPr="33BB7A70">
        <w:rPr>
          <w:rFonts w:ascii="Times New Roman" w:eastAsia="Calibri" w:hAnsi="Times New Roman" w:cs="Times New Roman"/>
        </w:rPr>
        <w:t>of niet specifiek genoeg dan is de claim absoluut.</w:t>
      </w:r>
      <w:r w:rsidR="381E39EB" w:rsidRPr="33BB7A70">
        <w:rPr>
          <w:rFonts w:ascii="Times New Roman" w:eastAsia="Calibri" w:hAnsi="Times New Roman" w:cs="Times New Roman"/>
        </w:rPr>
        <w:t xml:space="preserve"> Zulke </w:t>
      </w:r>
      <w:r w:rsidR="1770AC84" w:rsidRPr="33BB7A70">
        <w:rPr>
          <w:rFonts w:ascii="Times New Roman" w:eastAsia="Calibri" w:hAnsi="Times New Roman" w:cs="Times New Roman"/>
        </w:rPr>
        <w:t xml:space="preserve">absolute </w:t>
      </w:r>
      <w:r w:rsidR="381E39EB" w:rsidRPr="33BB7A70">
        <w:rPr>
          <w:rFonts w:ascii="Times New Roman" w:eastAsia="Calibri" w:hAnsi="Times New Roman" w:cs="Times New Roman"/>
        </w:rPr>
        <w:t>claims wekken al gauw de indruk dat er geen negatieve impact is op mens, milieu of dier</w:t>
      </w:r>
      <w:r w:rsidR="46BE394F" w:rsidRPr="33BB7A70">
        <w:rPr>
          <w:rFonts w:ascii="Times New Roman" w:eastAsia="Calibri" w:hAnsi="Times New Roman" w:cs="Times New Roman"/>
        </w:rPr>
        <w:t xml:space="preserve"> en dat zal aangetoond moeten worden</w:t>
      </w:r>
      <w:r w:rsidR="1A329E81" w:rsidRPr="33BB7A70">
        <w:rPr>
          <w:rFonts w:ascii="Times New Roman" w:eastAsia="Calibri" w:hAnsi="Times New Roman" w:cs="Times New Roman"/>
        </w:rPr>
        <w:t xml:space="preserve"> met een Life </w:t>
      </w:r>
      <w:proofErr w:type="spellStart"/>
      <w:r w:rsidR="1A329E81" w:rsidRPr="33BB7A70">
        <w:rPr>
          <w:rFonts w:ascii="Times New Roman" w:eastAsia="Calibri" w:hAnsi="Times New Roman" w:cs="Times New Roman"/>
        </w:rPr>
        <w:t>Cycle</w:t>
      </w:r>
      <w:proofErr w:type="spellEnd"/>
      <w:r w:rsidR="1A329E81" w:rsidRPr="33BB7A70">
        <w:rPr>
          <w:rFonts w:ascii="Times New Roman" w:eastAsia="Calibri" w:hAnsi="Times New Roman" w:cs="Times New Roman"/>
        </w:rPr>
        <w:t xml:space="preserve"> Assessment of True </w:t>
      </w:r>
      <w:proofErr w:type="spellStart"/>
      <w:r w:rsidR="1A329E81" w:rsidRPr="33BB7A70">
        <w:rPr>
          <w:rFonts w:ascii="Times New Roman" w:eastAsia="Calibri" w:hAnsi="Times New Roman" w:cs="Times New Roman"/>
        </w:rPr>
        <w:t>Cost</w:t>
      </w:r>
      <w:proofErr w:type="spellEnd"/>
      <w:r w:rsidR="1A329E81" w:rsidRPr="33BB7A70">
        <w:rPr>
          <w:rFonts w:ascii="Times New Roman" w:eastAsia="Calibri" w:hAnsi="Times New Roman" w:cs="Times New Roman"/>
        </w:rPr>
        <w:t xml:space="preserve"> Method</w:t>
      </w:r>
      <w:r w:rsidR="243E225F" w:rsidRPr="33BB7A70">
        <w:rPr>
          <w:rFonts w:ascii="Times New Roman" w:eastAsia="Calibri" w:hAnsi="Times New Roman" w:cs="Times New Roman"/>
        </w:rPr>
        <w:t xml:space="preserve">. </w:t>
      </w:r>
      <w:r w:rsidR="1A329E81" w:rsidRPr="33BB7A70">
        <w:rPr>
          <w:rFonts w:ascii="Times New Roman" w:eastAsia="Calibri" w:hAnsi="Times New Roman" w:cs="Times New Roman"/>
        </w:rPr>
        <w:t xml:space="preserve"> </w:t>
      </w:r>
      <w:r w:rsidR="6E7132E4" w:rsidRPr="33BB7A70">
        <w:rPr>
          <w:rFonts w:ascii="Times New Roman" w:eastAsia="Calibri" w:hAnsi="Times New Roman" w:cs="Times New Roman"/>
        </w:rPr>
        <w:t>D</w:t>
      </w:r>
      <w:r w:rsidR="1A329E81" w:rsidRPr="33BB7A70">
        <w:rPr>
          <w:rFonts w:ascii="Times New Roman" w:eastAsia="Calibri" w:hAnsi="Times New Roman" w:cs="Times New Roman"/>
        </w:rPr>
        <w:t xml:space="preserve">at </w:t>
      </w:r>
      <w:r w:rsidR="761407FF" w:rsidRPr="33BB7A70">
        <w:rPr>
          <w:rFonts w:ascii="Times New Roman" w:eastAsia="Calibri" w:hAnsi="Times New Roman" w:cs="Times New Roman"/>
        </w:rPr>
        <w:t xml:space="preserve">is </w:t>
      </w:r>
      <w:r w:rsidR="398E250A" w:rsidRPr="33BB7A70">
        <w:rPr>
          <w:rFonts w:ascii="Times New Roman" w:eastAsia="Calibri" w:hAnsi="Times New Roman" w:cs="Times New Roman"/>
        </w:rPr>
        <w:t>voor</w:t>
      </w:r>
      <w:r w:rsidR="24D791B5" w:rsidRPr="33BB7A70">
        <w:rPr>
          <w:rFonts w:ascii="Times New Roman" w:eastAsia="Calibri" w:hAnsi="Times New Roman" w:cs="Times New Roman"/>
        </w:rPr>
        <w:t xml:space="preserve"> nagenoeg</w:t>
      </w:r>
      <w:r w:rsidR="398E250A" w:rsidRPr="33BB7A70">
        <w:rPr>
          <w:rFonts w:ascii="Times New Roman" w:eastAsia="Calibri" w:hAnsi="Times New Roman" w:cs="Times New Roman"/>
        </w:rPr>
        <w:t xml:space="preserve"> alle producten onhaalbaar</w:t>
      </w:r>
      <w:r w:rsidR="09EB07E3" w:rsidRPr="33BB7A70">
        <w:rPr>
          <w:rFonts w:ascii="Times New Roman" w:eastAsia="Calibri" w:hAnsi="Times New Roman" w:cs="Times New Roman"/>
        </w:rPr>
        <w:t xml:space="preserve">, deze claims kunnen dus alleen in zeer uitzonderlijke gevallen worden gebruikt. </w:t>
      </w:r>
      <w:r w:rsidR="398E250A" w:rsidRPr="33BB7A70">
        <w:rPr>
          <w:rFonts w:ascii="Times New Roman" w:eastAsia="Calibri" w:hAnsi="Times New Roman" w:cs="Times New Roman"/>
        </w:rPr>
        <w:t>De nieuwe leidraad</w:t>
      </w:r>
      <w:r w:rsidR="634C37C0" w:rsidRPr="33BB7A70">
        <w:rPr>
          <w:rFonts w:ascii="Times New Roman" w:eastAsia="Calibri" w:hAnsi="Times New Roman" w:cs="Times New Roman"/>
        </w:rPr>
        <w:t xml:space="preserve"> is op dit punt </w:t>
      </w:r>
      <w:r w:rsidR="79862A32" w:rsidRPr="33BB7A70">
        <w:rPr>
          <w:rFonts w:ascii="Times New Roman" w:eastAsia="Calibri" w:hAnsi="Times New Roman" w:cs="Times New Roman"/>
        </w:rPr>
        <w:t xml:space="preserve">meer uitgesproken dan de oude. </w:t>
      </w:r>
      <w:r w:rsidR="08C21C96" w:rsidRPr="33BB7A70">
        <w:rPr>
          <w:rFonts w:ascii="Times New Roman" w:eastAsia="Calibri" w:hAnsi="Times New Roman" w:cs="Times New Roman"/>
        </w:rPr>
        <w:t xml:space="preserve">Een absolute claim leek toek toen nog mogelijk onder verwijzing naar een zwaardere bewijslast. </w:t>
      </w:r>
    </w:p>
    <w:p w14:paraId="76A4B7BB" w14:textId="77777777" w:rsidR="00D86DBF" w:rsidRPr="00652968" w:rsidRDefault="00D86DBF" w:rsidP="00EF2D8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63929E0B" w14:textId="4BD35524" w:rsidR="00814E4F" w:rsidRPr="00652968" w:rsidRDefault="00206480" w:rsidP="00814E4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>De</w:t>
      </w:r>
      <w:r w:rsidR="00D86DBF" w:rsidRPr="00652968">
        <w:rPr>
          <w:rFonts w:ascii="Times New Roman" w:eastAsia="Calibri" w:hAnsi="Times New Roman" w:cs="Times New Roman"/>
          <w:b/>
          <w:bCs/>
        </w:rPr>
        <w:t xml:space="preserve"> claim </w:t>
      </w:r>
      <w:r w:rsidRPr="00652968">
        <w:rPr>
          <w:rFonts w:ascii="Times New Roman" w:eastAsia="Calibri" w:hAnsi="Times New Roman" w:cs="Times New Roman"/>
          <w:b/>
          <w:bCs/>
        </w:rPr>
        <w:t xml:space="preserve">zelf </w:t>
      </w:r>
      <w:r w:rsidR="00D86DBF" w:rsidRPr="00652968">
        <w:rPr>
          <w:rFonts w:ascii="Times New Roman" w:eastAsia="Calibri" w:hAnsi="Times New Roman" w:cs="Times New Roman"/>
          <w:b/>
          <w:bCs/>
        </w:rPr>
        <w:t>geeft onvoldoende informatie</w:t>
      </w:r>
    </w:p>
    <w:p w14:paraId="167A8D91" w14:textId="600203D4" w:rsidR="00D86DBF" w:rsidRPr="00652968" w:rsidRDefault="00F96387" w:rsidP="00D86DB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52968">
        <w:rPr>
          <w:rFonts w:ascii="Times New Roman" w:eastAsia="Calibri" w:hAnsi="Times New Roman" w:cs="Times New Roman"/>
        </w:rPr>
        <w:t>Zonder uitleg van de claim, mag de claim niet worden gemaakt</w:t>
      </w:r>
      <w:r w:rsidR="0096542F" w:rsidRPr="00652968">
        <w:rPr>
          <w:rFonts w:ascii="Times New Roman" w:eastAsia="Calibri" w:hAnsi="Times New Roman" w:cs="Times New Roman"/>
        </w:rPr>
        <w:t xml:space="preserve"> en is de claim mogelijk misleidend</w:t>
      </w:r>
      <w:r w:rsidRPr="00652968">
        <w:rPr>
          <w:rFonts w:ascii="Times New Roman" w:eastAsia="Calibri" w:hAnsi="Times New Roman" w:cs="Times New Roman"/>
        </w:rPr>
        <w:t xml:space="preserve">. </w:t>
      </w:r>
      <w:r w:rsidR="007B313B" w:rsidRPr="00652968">
        <w:rPr>
          <w:rFonts w:ascii="Times New Roman" w:eastAsia="Calibri" w:hAnsi="Times New Roman" w:cs="Times New Roman"/>
        </w:rPr>
        <w:t xml:space="preserve">Verduidelijkt is </w:t>
      </w:r>
      <w:r w:rsidR="0098468F" w:rsidRPr="00652968">
        <w:rPr>
          <w:rFonts w:ascii="Times New Roman" w:eastAsia="Calibri" w:hAnsi="Times New Roman" w:cs="Times New Roman"/>
        </w:rPr>
        <w:t xml:space="preserve">ten op </w:t>
      </w:r>
      <w:r w:rsidR="000D1627" w:rsidRPr="00652968">
        <w:rPr>
          <w:rFonts w:ascii="Times New Roman" w:eastAsia="Calibri" w:hAnsi="Times New Roman" w:cs="Times New Roman"/>
        </w:rPr>
        <w:t>zichtte</w:t>
      </w:r>
      <w:r w:rsidR="0098468F" w:rsidRPr="00652968">
        <w:rPr>
          <w:rFonts w:ascii="Times New Roman" w:eastAsia="Calibri" w:hAnsi="Times New Roman" w:cs="Times New Roman"/>
        </w:rPr>
        <w:t xml:space="preserve"> van de oude Leidraad </w:t>
      </w:r>
      <w:r w:rsidR="007B313B" w:rsidRPr="00652968">
        <w:rPr>
          <w:rFonts w:ascii="Times New Roman" w:eastAsia="Calibri" w:hAnsi="Times New Roman" w:cs="Times New Roman"/>
        </w:rPr>
        <w:t>dat de uitleg en de grootte</w:t>
      </w:r>
      <w:r w:rsidR="0098468F" w:rsidRPr="00652968">
        <w:rPr>
          <w:rFonts w:ascii="Times New Roman" w:eastAsia="Calibri" w:hAnsi="Times New Roman" w:cs="Times New Roman"/>
        </w:rPr>
        <w:t xml:space="preserve"> van de claim</w:t>
      </w:r>
      <w:r w:rsidR="007B313B" w:rsidRPr="00652968">
        <w:rPr>
          <w:rFonts w:ascii="Times New Roman" w:eastAsia="Calibri" w:hAnsi="Times New Roman" w:cs="Times New Roman"/>
        </w:rPr>
        <w:t xml:space="preserve"> zo dicht mogelijk bij de claim moeten staan</w:t>
      </w:r>
      <w:r w:rsidR="000B3881" w:rsidRPr="00652968">
        <w:rPr>
          <w:rFonts w:ascii="Times New Roman" w:eastAsia="Calibri" w:hAnsi="Times New Roman" w:cs="Times New Roman"/>
        </w:rPr>
        <w:t>. Informatie mag niet verder</w:t>
      </w:r>
      <w:r w:rsidR="000D1627" w:rsidRPr="00652968">
        <w:rPr>
          <w:rFonts w:ascii="Times New Roman" w:eastAsia="Calibri" w:hAnsi="Times New Roman" w:cs="Times New Roman"/>
        </w:rPr>
        <w:t xml:space="preserve"> dan één muisklik of handeling verwijderd zijn van de duurzaamheidsclaim, aldus de nieuwe Leidraad. </w:t>
      </w:r>
      <w:r w:rsidR="00E52EA8" w:rsidRPr="00652968">
        <w:rPr>
          <w:rFonts w:ascii="Times New Roman" w:eastAsia="Calibri" w:hAnsi="Times New Roman" w:cs="Times New Roman"/>
        </w:rPr>
        <w:t>De inhoudelijke eisen, leg uit waarom een specifiek onderdeel duurzamer is</w:t>
      </w:r>
      <w:r w:rsidRPr="00652968">
        <w:rPr>
          <w:rFonts w:ascii="Times New Roman" w:eastAsia="Calibri" w:hAnsi="Times New Roman" w:cs="Times New Roman"/>
        </w:rPr>
        <w:t xml:space="preserve"> en</w:t>
      </w:r>
      <w:r w:rsidR="00E52EA8" w:rsidRPr="00652968">
        <w:rPr>
          <w:rFonts w:ascii="Times New Roman" w:eastAsia="Calibri" w:hAnsi="Times New Roman" w:cs="Times New Roman"/>
        </w:rPr>
        <w:t xml:space="preserve"> maak gebruik van concrete percentages etc., </w:t>
      </w:r>
      <w:r w:rsidRPr="00652968">
        <w:rPr>
          <w:rFonts w:ascii="Times New Roman" w:eastAsia="Calibri" w:hAnsi="Times New Roman" w:cs="Times New Roman"/>
        </w:rPr>
        <w:t>stonden al in de oude Leidraad, maar zijn toegankelijker geformuleerd.</w:t>
      </w:r>
    </w:p>
    <w:p w14:paraId="6EA296B7" w14:textId="213C7F58" w:rsidR="00814E4F" w:rsidRPr="00652968" w:rsidRDefault="00814E4F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26348537" w14:textId="77777777" w:rsidR="0096542F" w:rsidRPr="00652968" w:rsidRDefault="0096542F" w:rsidP="0096542F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>De claim zelf geeft onvoldoende informatie</w:t>
      </w:r>
    </w:p>
    <w:p w14:paraId="7794E57B" w14:textId="1E789799" w:rsidR="0096542F" w:rsidRPr="00652968" w:rsidRDefault="00180289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00652968">
        <w:rPr>
          <w:rFonts w:ascii="Times New Roman" w:hAnsi="Times New Roman" w:cs="Times New Roman"/>
          <w:color w:val="313140"/>
        </w:rPr>
        <w:t>Zonder feitelijk bewijs is de claim misleidend. Er zijn veel bewijsmogelijkheden</w:t>
      </w:r>
      <w:r w:rsidR="00241990" w:rsidRPr="00652968">
        <w:rPr>
          <w:rFonts w:ascii="Times New Roman" w:hAnsi="Times New Roman" w:cs="Times New Roman"/>
          <w:color w:val="313140"/>
        </w:rPr>
        <w:t xml:space="preserve"> mits het bewijs betrouwbaar, onafhankelijk</w:t>
      </w:r>
      <w:r w:rsidR="00DA68F8" w:rsidRPr="00652968">
        <w:rPr>
          <w:rFonts w:ascii="Times New Roman" w:hAnsi="Times New Roman" w:cs="Times New Roman"/>
          <w:color w:val="313140"/>
        </w:rPr>
        <w:t xml:space="preserve">, </w:t>
      </w:r>
      <w:r w:rsidR="00241990" w:rsidRPr="00652968">
        <w:rPr>
          <w:rFonts w:ascii="Times New Roman" w:hAnsi="Times New Roman" w:cs="Times New Roman"/>
          <w:color w:val="313140"/>
        </w:rPr>
        <w:t>verifieerbaar</w:t>
      </w:r>
      <w:r w:rsidR="00DA68F8" w:rsidRPr="00652968">
        <w:rPr>
          <w:rFonts w:ascii="Times New Roman" w:hAnsi="Times New Roman" w:cs="Times New Roman"/>
          <w:color w:val="313140"/>
        </w:rPr>
        <w:t xml:space="preserve"> en erkend</w:t>
      </w:r>
      <w:r w:rsidR="0016588D" w:rsidRPr="00652968">
        <w:rPr>
          <w:rFonts w:ascii="Times New Roman" w:hAnsi="Times New Roman" w:cs="Times New Roman"/>
          <w:color w:val="313140"/>
        </w:rPr>
        <w:t xml:space="preserve"> is</w:t>
      </w:r>
      <w:r w:rsidR="00DA68F8" w:rsidRPr="00652968">
        <w:rPr>
          <w:rFonts w:ascii="Times New Roman" w:hAnsi="Times New Roman" w:cs="Times New Roman"/>
          <w:color w:val="313140"/>
        </w:rPr>
        <w:t xml:space="preserve"> door de wetenschap</w:t>
      </w:r>
      <w:r w:rsidR="00241990" w:rsidRPr="00652968">
        <w:rPr>
          <w:rFonts w:ascii="Times New Roman" w:hAnsi="Times New Roman" w:cs="Times New Roman"/>
          <w:color w:val="313140"/>
        </w:rPr>
        <w:t xml:space="preserve">. </w:t>
      </w:r>
      <w:r w:rsidR="008572A9" w:rsidRPr="00652968">
        <w:rPr>
          <w:rFonts w:ascii="Times New Roman" w:hAnsi="Times New Roman" w:cs="Times New Roman"/>
          <w:color w:val="313140"/>
        </w:rPr>
        <w:t xml:space="preserve">Claims moeten regelmatig worden geëvalueerd en voorzien worden van actueel bewijs. Tot slot, de ACM kan het bewijs opvragen en de claim verifiëren. </w:t>
      </w:r>
    </w:p>
    <w:p w14:paraId="172FF245" w14:textId="718B600A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5E14DB3C" w14:textId="790D9BBE" w:rsidR="00EB3D02" w:rsidRPr="00652968" w:rsidRDefault="6B8EC207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>Vuistregel 3</w:t>
      </w:r>
      <w:r w:rsidR="65377B2D" w:rsidRPr="00652968">
        <w:rPr>
          <w:rFonts w:ascii="Times New Roman" w:hAnsi="Times New Roman" w:cs="Times New Roman"/>
          <w:b/>
          <w:bCs/>
          <w:color w:val="313140"/>
        </w:rPr>
        <w:t xml:space="preserve"> – Maak eerlijke vergelijkingen met andere producten of concurrenten </w:t>
      </w:r>
    </w:p>
    <w:p w14:paraId="1A1CB280" w14:textId="1E38C427" w:rsidR="00D3665E" w:rsidRPr="00652968" w:rsidRDefault="57CE7B09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33BB7A70">
        <w:rPr>
          <w:rFonts w:ascii="Times New Roman" w:hAnsi="Times New Roman" w:cs="Times New Roman"/>
          <w:color w:val="313140"/>
        </w:rPr>
        <w:t xml:space="preserve">Eerlijke vergelijkingen staan nog steeds centraal in de derde Vuistregel. </w:t>
      </w:r>
      <w:r w:rsidR="7700A119" w:rsidRPr="33BB7A70">
        <w:rPr>
          <w:rFonts w:ascii="Times New Roman" w:hAnsi="Times New Roman" w:cs="Times New Roman"/>
          <w:color w:val="313140"/>
        </w:rPr>
        <w:t>Er gelden zeven aandachtspunten waarvan de meeste al in de oude versie stonden. Geëxpliciteerd is dat de vergelijking kan gaan over</w:t>
      </w:r>
      <w:r w:rsidR="722E7AB6" w:rsidRPr="33BB7A70">
        <w:rPr>
          <w:rFonts w:ascii="Times New Roman" w:hAnsi="Times New Roman" w:cs="Times New Roman"/>
          <w:color w:val="313140"/>
        </w:rPr>
        <w:t xml:space="preserve"> (productie)fases, levensduur of de </w:t>
      </w:r>
      <w:r w:rsidR="064C24D4" w:rsidRPr="33BB7A70">
        <w:rPr>
          <w:rFonts w:ascii="Times New Roman" w:hAnsi="Times New Roman" w:cs="Times New Roman"/>
          <w:color w:val="313140"/>
        </w:rPr>
        <w:t>afvalfase</w:t>
      </w:r>
      <w:r w:rsidR="464EE4B7" w:rsidRPr="33BB7A70">
        <w:rPr>
          <w:rFonts w:ascii="Times New Roman" w:hAnsi="Times New Roman" w:cs="Times New Roman"/>
          <w:color w:val="313140"/>
        </w:rPr>
        <w:t xml:space="preserve"> en dat de vergelijkende claim betrekking moet hebben op een significant kenmerk of duurzaamheidsvoordeel van het product of bedrijf.</w:t>
      </w:r>
    </w:p>
    <w:p w14:paraId="3866BA39" w14:textId="3059D9FE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46B685B5" w14:textId="38266F59" w:rsidR="00EB3D02" w:rsidRPr="00652968" w:rsidRDefault="6B8EC207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>Vuistregel 4</w:t>
      </w:r>
      <w:r w:rsidR="0BA3078C" w:rsidRPr="00652968">
        <w:rPr>
          <w:rFonts w:ascii="Times New Roman" w:hAnsi="Times New Roman" w:cs="Times New Roman"/>
          <w:b/>
          <w:bCs/>
          <w:color w:val="313140"/>
        </w:rPr>
        <w:t xml:space="preserve"> – Beschrijf toekomstige duurzaamheidsambities concreet en meetbaar </w:t>
      </w:r>
    </w:p>
    <w:p w14:paraId="358A7B28" w14:textId="629692E7" w:rsidR="0003176F" w:rsidRPr="00652968" w:rsidRDefault="00041868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  <w:r w:rsidRPr="00652968">
        <w:rPr>
          <w:rFonts w:ascii="Times New Roman" w:eastAsia="Calibri" w:hAnsi="Times New Roman" w:cs="Times New Roman"/>
        </w:rPr>
        <w:t xml:space="preserve">Duurzaamheidsinspanningen zijn vervangen door duurzaamheidsambities in Vuistregel 4. </w:t>
      </w:r>
      <w:r w:rsidR="00F158A5" w:rsidRPr="00652968">
        <w:rPr>
          <w:rFonts w:ascii="Times New Roman" w:eastAsia="Calibri" w:hAnsi="Times New Roman" w:cs="Times New Roman"/>
        </w:rPr>
        <w:t xml:space="preserve">Duurzaamheidsambities </w:t>
      </w:r>
      <w:r w:rsidR="00C72688" w:rsidRPr="00652968">
        <w:rPr>
          <w:rFonts w:ascii="Times New Roman" w:eastAsia="Calibri" w:hAnsi="Times New Roman" w:cs="Times New Roman"/>
        </w:rPr>
        <w:t>mogen</w:t>
      </w:r>
      <w:r w:rsidR="00F158A5" w:rsidRPr="00652968">
        <w:rPr>
          <w:rFonts w:ascii="Times New Roman" w:eastAsia="Calibri" w:hAnsi="Times New Roman" w:cs="Times New Roman"/>
        </w:rPr>
        <w:t xml:space="preserve"> niet</w:t>
      </w:r>
      <w:r w:rsidR="008D499D" w:rsidRPr="00652968">
        <w:rPr>
          <w:rFonts w:ascii="Times New Roman" w:eastAsia="Calibri" w:hAnsi="Times New Roman" w:cs="Times New Roman"/>
        </w:rPr>
        <w:t xml:space="preserve"> als claim of onderbouwing gebruikt</w:t>
      </w:r>
      <w:r w:rsidR="00C72688" w:rsidRPr="00652968">
        <w:rPr>
          <w:rFonts w:ascii="Times New Roman" w:eastAsia="Calibri" w:hAnsi="Times New Roman" w:cs="Times New Roman"/>
        </w:rPr>
        <w:t xml:space="preserve"> worden</w:t>
      </w:r>
      <w:r w:rsidR="008D499D" w:rsidRPr="00652968">
        <w:rPr>
          <w:rFonts w:ascii="Times New Roman" w:eastAsia="Calibri" w:hAnsi="Times New Roman" w:cs="Times New Roman"/>
        </w:rPr>
        <w:t xml:space="preserve"> bij concrete producten. </w:t>
      </w:r>
      <w:r w:rsidR="0074503F" w:rsidRPr="00652968">
        <w:rPr>
          <w:rFonts w:ascii="Times New Roman" w:eastAsia="Calibri" w:hAnsi="Times New Roman" w:cs="Times New Roman"/>
        </w:rPr>
        <w:t xml:space="preserve">Er wordt veel nadruk gelegd op het opstellen van een plan voor het bereiken van de duurzaamheidsdoelstellingen. </w:t>
      </w:r>
      <w:r w:rsidR="00D62389" w:rsidRPr="00652968">
        <w:rPr>
          <w:rFonts w:ascii="Times New Roman" w:eastAsia="Calibri" w:hAnsi="Times New Roman" w:cs="Times New Roman"/>
        </w:rPr>
        <w:t>Het plan bestaat uit concrete acties, is specifiek, meetbaar, toegankelijk, vindbaar</w:t>
      </w:r>
      <w:r w:rsidR="00B20F8C" w:rsidRPr="00652968">
        <w:rPr>
          <w:rFonts w:ascii="Times New Roman" w:eastAsia="Calibri" w:hAnsi="Times New Roman" w:cs="Times New Roman"/>
        </w:rPr>
        <w:t>,</w:t>
      </w:r>
      <w:r w:rsidR="00D62389" w:rsidRPr="00652968">
        <w:rPr>
          <w:rFonts w:ascii="Times New Roman" w:eastAsia="Calibri" w:hAnsi="Times New Roman" w:cs="Times New Roman"/>
        </w:rPr>
        <w:t xml:space="preserve"> en (bijna) gestart. </w:t>
      </w:r>
      <w:r w:rsidR="00B20F8C" w:rsidRPr="00652968">
        <w:rPr>
          <w:rFonts w:ascii="Times New Roman" w:eastAsia="Calibri" w:hAnsi="Times New Roman" w:cs="Times New Roman"/>
        </w:rPr>
        <w:t xml:space="preserve">Aangeraden wordt de haalbaarheid te laten controleren door een onafhankelijke deskundige partij. </w:t>
      </w:r>
    </w:p>
    <w:p w14:paraId="1575557F" w14:textId="218EDFDF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7573C505" w14:textId="1E24CF05" w:rsidR="00EB3D02" w:rsidRPr="00652968" w:rsidRDefault="6B8EC207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>Vuistregel 5</w:t>
      </w:r>
      <w:r w:rsidR="3F4D14D8" w:rsidRPr="00652968">
        <w:rPr>
          <w:rFonts w:ascii="Times New Roman" w:hAnsi="Times New Roman" w:cs="Times New Roman"/>
          <w:b/>
          <w:bCs/>
          <w:color w:val="313140"/>
        </w:rPr>
        <w:t xml:space="preserve"> – Zorg dat visuele claims en keurmerken behulpzaam zijn voor </w:t>
      </w:r>
      <w:r w:rsidR="00EB3D02" w:rsidRPr="00652968">
        <w:rPr>
          <w:rFonts w:ascii="Times New Roman" w:hAnsi="Times New Roman" w:cs="Times New Roman"/>
        </w:rPr>
        <w:tab/>
      </w:r>
    </w:p>
    <w:p w14:paraId="572E7F5D" w14:textId="2F5FD193" w:rsidR="00EB3D02" w:rsidRPr="00652968" w:rsidRDefault="322FEBC4" w:rsidP="002E693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 xml:space="preserve"> </w:t>
      </w:r>
      <w:r w:rsidR="3F4D14D8" w:rsidRPr="00652968">
        <w:rPr>
          <w:rFonts w:ascii="Times New Roman" w:hAnsi="Times New Roman" w:cs="Times New Roman"/>
          <w:b/>
          <w:bCs/>
          <w:color w:val="313140"/>
        </w:rPr>
        <w:t>c</w:t>
      </w:r>
      <w:r w:rsidR="7553FCE6" w:rsidRPr="00652968">
        <w:rPr>
          <w:rFonts w:ascii="Times New Roman" w:hAnsi="Times New Roman" w:cs="Times New Roman"/>
          <w:b/>
          <w:bCs/>
          <w:color w:val="313140"/>
        </w:rPr>
        <w:t>o</w:t>
      </w:r>
      <w:r w:rsidR="3F4D14D8" w:rsidRPr="00652968">
        <w:rPr>
          <w:rFonts w:ascii="Times New Roman" w:hAnsi="Times New Roman" w:cs="Times New Roman"/>
          <w:b/>
          <w:bCs/>
          <w:color w:val="313140"/>
        </w:rPr>
        <w:t>nsumenten en niet verwarren</w:t>
      </w:r>
    </w:p>
    <w:p w14:paraId="1267E54C" w14:textId="7DA10BEA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5EF58239" w14:textId="76F6FB9B" w:rsidR="00EB3D02" w:rsidRPr="00652968" w:rsidRDefault="341D7BC5" w:rsidP="002E6938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 xml:space="preserve">Visuele claims: symbolen, kleuren, afbeeldingen </w:t>
      </w:r>
      <w:r w:rsidR="73F9E330" w:rsidRPr="00652968">
        <w:rPr>
          <w:rFonts w:ascii="Times New Roman" w:eastAsia="Calibri" w:hAnsi="Times New Roman" w:cs="Times New Roman"/>
          <w:b/>
          <w:bCs/>
        </w:rPr>
        <w:t xml:space="preserve">  </w:t>
      </w:r>
    </w:p>
    <w:p w14:paraId="2EA8008E" w14:textId="012352E1" w:rsidR="00EB3D02" w:rsidRPr="00652968" w:rsidRDefault="6E5F062E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52968">
        <w:rPr>
          <w:rFonts w:ascii="Times New Roman" w:eastAsia="Calibri" w:hAnsi="Times New Roman" w:cs="Times New Roman"/>
        </w:rPr>
        <w:t>Visuele claims k</w:t>
      </w:r>
      <w:r w:rsidR="002E6938" w:rsidRPr="00652968">
        <w:rPr>
          <w:rFonts w:ascii="Times New Roman" w:eastAsia="Calibri" w:hAnsi="Times New Roman" w:cs="Times New Roman"/>
        </w:rPr>
        <w:t xml:space="preserve">omen snel over </w:t>
      </w:r>
      <w:r w:rsidRPr="00652968">
        <w:rPr>
          <w:rFonts w:ascii="Times New Roman" w:eastAsia="Calibri" w:hAnsi="Times New Roman" w:cs="Times New Roman"/>
        </w:rPr>
        <w:t xml:space="preserve">als absolute claim (die zeer streng onderbouwd moeten worden). Maak alleen gebruik </w:t>
      </w:r>
      <w:r w:rsidR="189F589F" w:rsidRPr="00652968">
        <w:rPr>
          <w:rFonts w:ascii="Times New Roman" w:eastAsia="Calibri" w:hAnsi="Times New Roman" w:cs="Times New Roman"/>
        </w:rPr>
        <w:t xml:space="preserve">van afbeeldingen van natuur- of andere objecten als er </w:t>
      </w:r>
      <w:r w:rsidR="3F094E59" w:rsidRPr="00652968">
        <w:rPr>
          <w:rFonts w:ascii="Times New Roman" w:eastAsia="Calibri" w:hAnsi="Times New Roman" w:cs="Times New Roman"/>
        </w:rPr>
        <w:t xml:space="preserve">een direct en verifieerbaar verband bestaat tussen het afgebeelde object en het duurzaamheidsvoordeel. </w:t>
      </w:r>
    </w:p>
    <w:p w14:paraId="432F1FDC" w14:textId="77777777" w:rsidR="002E6938" w:rsidRPr="00652968" w:rsidRDefault="002E6938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F54E437" w14:textId="652C287D" w:rsidR="00EB3D02" w:rsidRPr="00652968" w:rsidRDefault="368B9D38" w:rsidP="002E6938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>Onafhankelijke keurmerken</w:t>
      </w:r>
    </w:p>
    <w:p w14:paraId="48394DA9" w14:textId="69AD7DC9" w:rsidR="00EB3D02" w:rsidRPr="00652968" w:rsidRDefault="52A83A3D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52968">
        <w:rPr>
          <w:rFonts w:ascii="Times New Roman" w:eastAsia="Calibri" w:hAnsi="Times New Roman" w:cs="Times New Roman"/>
        </w:rPr>
        <w:t>De ACM beveelt aan om alleen een keurmerk te gebruiken dat gecontroleerd wordt door een onafhankelijk erkende instantie</w:t>
      </w:r>
      <w:r w:rsidR="78E892D2" w:rsidRPr="00652968">
        <w:rPr>
          <w:rFonts w:ascii="Times New Roman" w:eastAsia="Calibri" w:hAnsi="Times New Roman" w:cs="Times New Roman"/>
        </w:rPr>
        <w:t xml:space="preserve"> en om kritisch te zijn op de kwaliteit van de keurmerken. </w:t>
      </w:r>
    </w:p>
    <w:p w14:paraId="3FBF67C7" w14:textId="77777777" w:rsidR="002E6938" w:rsidRPr="00652968" w:rsidRDefault="002E6938" w:rsidP="002E6938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7A3A016" w14:textId="195AB0E9" w:rsidR="00EB3D02" w:rsidRPr="00652968" w:rsidRDefault="368B9D38" w:rsidP="002E6938">
      <w:pPr>
        <w:pStyle w:val="Lijstalinea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2968">
        <w:rPr>
          <w:rFonts w:ascii="Times New Roman" w:eastAsia="Calibri" w:hAnsi="Times New Roman" w:cs="Times New Roman"/>
          <w:b/>
          <w:bCs/>
        </w:rPr>
        <w:t>Bedrijfskeurmerken</w:t>
      </w:r>
    </w:p>
    <w:p w14:paraId="23108934" w14:textId="477916BA" w:rsidR="00EB3D02" w:rsidRPr="00652968" w:rsidRDefault="736604EE" w:rsidP="33BB7A70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33BB7A70">
        <w:rPr>
          <w:rFonts w:ascii="Times New Roman" w:eastAsia="Calibri" w:hAnsi="Times New Roman" w:cs="Times New Roman"/>
        </w:rPr>
        <w:lastRenderedPageBreak/>
        <w:t xml:space="preserve">De ACM raadt het gebruik van bedrijfskeurmerken af. </w:t>
      </w:r>
      <w:r w:rsidR="2347DAA5" w:rsidRPr="33BB7A70">
        <w:rPr>
          <w:rFonts w:ascii="Times New Roman" w:eastAsia="Calibri" w:hAnsi="Times New Roman" w:cs="Times New Roman"/>
        </w:rPr>
        <w:t xml:space="preserve">Dit was in de eerdere Leidraad niet zo expliciet uitgedrukt en sluit aan bij de </w:t>
      </w:r>
      <w:r w:rsidR="631641C9" w:rsidRPr="33BB7A70">
        <w:rPr>
          <w:rFonts w:ascii="Times New Roman" w:eastAsia="Calibri" w:hAnsi="Times New Roman" w:cs="Times New Roman"/>
        </w:rPr>
        <w:t xml:space="preserve">Europese wetsvoorstellen over greenwashing. </w:t>
      </w:r>
    </w:p>
    <w:p w14:paraId="741E1C91" w14:textId="7AF2A3CE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7009D561" w14:textId="0635B16C" w:rsidR="00EB3D02" w:rsidRPr="00652968" w:rsidRDefault="6B8EC207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  <w:r w:rsidRPr="00652968">
        <w:rPr>
          <w:rFonts w:ascii="Times New Roman" w:hAnsi="Times New Roman" w:cs="Times New Roman"/>
          <w:b/>
          <w:bCs/>
          <w:color w:val="313140"/>
        </w:rPr>
        <w:t xml:space="preserve">Conclusie </w:t>
      </w:r>
    </w:p>
    <w:p w14:paraId="7D2B2046" w14:textId="0D19983E" w:rsidR="00EB3D02" w:rsidRPr="00652968" w:rsidRDefault="75C5D2D3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  <w:r w:rsidRPr="33BB7A70">
        <w:rPr>
          <w:rFonts w:ascii="Times New Roman" w:hAnsi="Times New Roman" w:cs="Times New Roman"/>
          <w:color w:val="313140"/>
        </w:rPr>
        <w:t xml:space="preserve">De ACM wil de juiste voorwaarden scheppen om de energietransitie en verduurzaming te bevorderen. </w:t>
      </w:r>
      <w:r w:rsidR="3E894400" w:rsidRPr="33BB7A70">
        <w:rPr>
          <w:rFonts w:ascii="Times New Roman" w:hAnsi="Times New Roman" w:cs="Times New Roman"/>
          <w:color w:val="313140"/>
        </w:rPr>
        <w:t xml:space="preserve">Een snelle geüpdatete versie van de Leidraad Duurzaamheidsclaim past daarbij. </w:t>
      </w:r>
      <w:r w:rsidR="05986904" w:rsidRPr="33BB7A70">
        <w:rPr>
          <w:rFonts w:ascii="Times New Roman" w:hAnsi="Times New Roman" w:cs="Times New Roman"/>
          <w:color w:val="313140"/>
        </w:rPr>
        <w:t>Het aantal aandachtspunten, ingegeven door handhavingsprocedures, rechtspraak en Europese wet- en regelgeving</w:t>
      </w:r>
      <w:r w:rsidR="2B429EB6" w:rsidRPr="33BB7A70">
        <w:rPr>
          <w:rFonts w:ascii="Times New Roman" w:hAnsi="Times New Roman" w:cs="Times New Roman"/>
          <w:color w:val="313140"/>
        </w:rPr>
        <w:t>, is verder uitgebreid</w:t>
      </w:r>
      <w:r w:rsidR="3E894400" w:rsidRPr="33BB7A70">
        <w:rPr>
          <w:rFonts w:ascii="Times New Roman" w:hAnsi="Times New Roman" w:cs="Times New Roman"/>
          <w:color w:val="313140"/>
        </w:rPr>
        <w:t xml:space="preserve"> </w:t>
      </w:r>
      <w:r w:rsidR="249E6B1B" w:rsidRPr="33BB7A70">
        <w:rPr>
          <w:rFonts w:ascii="Times New Roman" w:hAnsi="Times New Roman" w:cs="Times New Roman"/>
          <w:color w:val="313140"/>
        </w:rPr>
        <w:t xml:space="preserve">en al die aandachtspunten zijn meer toegankelijk </w:t>
      </w:r>
      <w:r w:rsidR="5A460235" w:rsidRPr="33BB7A70">
        <w:rPr>
          <w:rFonts w:ascii="Times New Roman" w:hAnsi="Times New Roman" w:cs="Times New Roman"/>
          <w:color w:val="313140"/>
        </w:rPr>
        <w:t xml:space="preserve">vormgegeven in deze nieuwe versie van de Leidraad. </w:t>
      </w:r>
      <w:r w:rsidR="33B53A0F" w:rsidRPr="33BB7A70">
        <w:rPr>
          <w:rFonts w:ascii="Times New Roman" w:hAnsi="Times New Roman" w:cs="Times New Roman"/>
          <w:color w:val="313140"/>
        </w:rPr>
        <w:t>Aan marketeers</w:t>
      </w:r>
      <w:r w:rsidR="4C26C1D2" w:rsidRPr="33BB7A70">
        <w:rPr>
          <w:rFonts w:ascii="Times New Roman" w:hAnsi="Times New Roman" w:cs="Times New Roman"/>
          <w:color w:val="313140"/>
        </w:rPr>
        <w:t xml:space="preserve">, compliance </w:t>
      </w:r>
      <w:proofErr w:type="spellStart"/>
      <w:r w:rsidR="4C26C1D2" w:rsidRPr="33BB7A70">
        <w:rPr>
          <w:rFonts w:ascii="Times New Roman" w:hAnsi="Times New Roman" w:cs="Times New Roman"/>
          <w:color w:val="313140"/>
        </w:rPr>
        <w:t>officers</w:t>
      </w:r>
      <w:proofErr w:type="spellEnd"/>
      <w:r w:rsidR="4C26C1D2" w:rsidRPr="33BB7A70">
        <w:rPr>
          <w:rFonts w:ascii="Times New Roman" w:hAnsi="Times New Roman" w:cs="Times New Roman"/>
          <w:color w:val="313140"/>
        </w:rPr>
        <w:t xml:space="preserve"> en juridisch adviseurs nu de opdracht om de </w:t>
      </w:r>
      <w:r w:rsidR="4D842299" w:rsidRPr="33BB7A70">
        <w:rPr>
          <w:rFonts w:ascii="Times New Roman" w:hAnsi="Times New Roman" w:cs="Times New Roman"/>
          <w:color w:val="313140"/>
        </w:rPr>
        <w:t>aandachtspunten te verwerken in duu</w:t>
      </w:r>
      <w:r w:rsidR="67563599" w:rsidRPr="33BB7A70">
        <w:rPr>
          <w:rFonts w:ascii="Times New Roman" w:hAnsi="Times New Roman" w:cs="Times New Roman"/>
          <w:color w:val="313140"/>
        </w:rPr>
        <w:t xml:space="preserve">rzaamheidscommunicatie over hun producten, dienstverlening of ambities. </w:t>
      </w:r>
    </w:p>
    <w:p w14:paraId="60544C28" w14:textId="66850C85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13140"/>
        </w:rPr>
      </w:pPr>
    </w:p>
    <w:p w14:paraId="13D61879" w14:textId="652A46DA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</w:p>
    <w:p w14:paraId="51EA34ED" w14:textId="54BF95AE" w:rsidR="00EB3D02" w:rsidRPr="00652968" w:rsidRDefault="00EB3D02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</w:p>
    <w:p w14:paraId="50703B54" w14:textId="679162ED" w:rsidR="63C7190F" w:rsidRPr="00652968" w:rsidRDefault="63C7190F" w:rsidP="002E6938">
      <w:pPr>
        <w:spacing w:line="240" w:lineRule="auto"/>
        <w:contextualSpacing/>
        <w:jc w:val="both"/>
        <w:rPr>
          <w:rFonts w:ascii="Times New Roman" w:hAnsi="Times New Roman" w:cs="Times New Roman"/>
          <w:color w:val="313140"/>
        </w:rPr>
      </w:pPr>
    </w:p>
    <w:sectPr w:rsidR="63C7190F" w:rsidRPr="0065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9E39"/>
    <w:multiLevelType w:val="hybridMultilevel"/>
    <w:tmpl w:val="5D143EC8"/>
    <w:lvl w:ilvl="0" w:tplc="F2AE943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53787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E1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2E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66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29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4A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8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EE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84C1"/>
    <w:multiLevelType w:val="hybridMultilevel"/>
    <w:tmpl w:val="36E8A8DE"/>
    <w:lvl w:ilvl="0" w:tplc="D3FC21F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381CD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49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86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8F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44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AC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8F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E9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08271">
    <w:abstractNumId w:val="1"/>
  </w:num>
  <w:num w:numId="2" w16cid:durableId="11438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02"/>
    <w:rsid w:val="0003176F"/>
    <w:rsid w:val="000409C4"/>
    <w:rsid w:val="00041868"/>
    <w:rsid w:val="000B3881"/>
    <w:rsid w:val="000B7D1C"/>
    <w:rsid w:val="000D1627"/>
    <w:rsid w:val="00111971"/>
    <w:rsid w:val="00122339"/>
    <w:rsid w:val="00123F9A"/>
    <w:rsid w:val="001625D4"/>
    <w:rsid w:val="0016588D"/>
    <w:rsid w:val="00180289"/>
    <w:rsid w:val="001D1C9D"/>
    <w:rsid w:val="00206480"/>
    <w:rsid w:val="00241990"/>
    <w:rsid w:val="00252D7F"/>
    <w:rsid w:val="00283ECC"/>
    <w:rsid w:val="002E6938"/>
    <w:rsid w:val="003044AF"/>
    <w:rsid w:val="0032771B"/>
    <w:rsid w:val="00373B40"/>
    <w:rsid w:val="0041077D"/>
    <w:rsid w:val="00444B7C"/>
    <w:rsid w:val="004A51A3"/>
    <w:rsid w:val="004D077C"/>
    <w:rsid w:val="005F4D35"/>
    <w:rsid w:val="00607869"/>
    <w:rsid w:val="00613332"/>
    <w:rsid w:val="00652968"/>
    <w:rsid w:val="007134F8"/>
    <w:rsid w:val="00724C30"/>
    <w:rsid w:val="0074503F"/>
    <w:rsid w:val="007574AA"/>
    <w:rsid w:val="007B313B"/>
    <w:rsid w:val="007B6FEC"/>
    <w:rsid w:val="007D2468"/>
    <w:rsid w:val="00814E4F"/>
    <w:rsid w:val="008537D5"/>
    <w:rsid w:val="008572A9"/>
    <w:rsid w:val="008731A9"/>
    <w:rsid w:val="008C3D90"/>
    <w:rsid w:val="008D499D"/>
    <w:rsid w:val="0096542F"/>
    <w:rsid w:val="00982D02"/>
    <w:rsid w:val="0098468F"/>
    <w:rsid w:val="009A657D"/>
    <w:rsid w:val="009B3C02"/>
    <w:rsid w:val="009C229C"/>
    <w:rsid w:val="009F186D"/>
    <w:rsid w:val="00A653C6"/>
    <w:rsid w:val="00AA6D79"/>
    <w:rsid w:val="00AC01AF"/>
    <w:rsid w:val="00AC16D5"/>
    <w:rsid w:val="00AC4F44"/>
    <w:rsid w:val="00AD2B09"/>
    <w:rsid w:val="00AE7FCE"/>
    <w:rsid w:val="00B20F8C"/>
    <w:rsid w:val="00B24FCA"/>
    <w:rsid w:val="00B61495"/>
    <w:rsid w:val="00B864A6"/>
    <w:rsid w:val="00BB7314"/>
    <w:rsid w:val="00BD6930"/>
    <w:rsid w:val="00C32848"/>
    <w:rsid w:val="00C454EC"/>
    <w:rsid w:val="00C50DC6"/>
    <w:rsid w:val="00C52ABD"/>
    <w:rsid w:val="00C72688"/>
    <w:rsid w:val="00CE7F2C"/>
    <w:rsid w:val="00D3665E"/>
    <w:rsid w:val="00D62389"/>
    <w:rsid w:val="00D86DBF"/>
    <w:rsid w:val="00D87D38"/>
    <w:rsid w:val="00DA68F8"/>
    <w:rsid w:val="00DF4AFA"/>
    <w:rsid w:val="00E17137"/>
    <w:rsid w:val="00E52EA8"/>
    <w:rsid w:val="00E53533"/>
    <w:rsid w:val="00EB3D02"/>
    <w:rsid w:val="00EF2D88"/>
    <w:rsid w:val="00F158A5"/>
    <w:rsid w:val="00F67673"/>
    <w:rsid w:val="00F917F1"/>
    <w:rsid w:val="00F96387"/>
    <w:rsid w:val="00FC2AAE"/>
    <w:rsid w:val="015C28C6"/>
    <w:rsid w:val="01FD6F55"/>
    <w:rsid w:val="0208EF3B"/>
    <w:rsid w:val="024B9DD5"/>
    <w:rsid w:val="0266ABD4"/>
    <w:rsid w:val="0310C517"/>
    <w:rsid w:val="031F836E"/>
    <w:rsid w:val="03D3A892"/>
    <w:rsid w:val="0508617C"/>
    <w:rsid w:val="057DA4E2"/>
    <w:rsid w:val="05986904"/>
    <w:rsid w:val="064C24D4"/>
    <w:rsid w:val="07197543"/>
    <w:rsid w:val="0788A72D"/>
    <w:rsid w:val="081C2646"/>
    <w:rsid w:val="08C21C96"/>
    <w:rsid w:val="09BB7CF6"/>
    <w:rsid w:val="09EB07E3"/>
    <w:rsid w:val="0A4DAA63"/>
    <w:rsid w:val="0AC3A36B"/>
    <w:rsid w:val="0BA3078C"/>
    <w:rsid w:val="0C3A6158"/>
    <w:rsid w:val="0C5D6915"/>
    <w:rsid w:val="0C7A0EF9"/>
    <w:rsid w:val="0CF8155D"/>
    <w:rsid w:val="0D744080"/>
    <w:rsid w:val="0DC86468"/>
    <w:rsid w:val="0E15DF5A"/>
    <w:rsid w:val="0E50E70D"/>
    <w:rsid w:val="0E9506FE"/>
    <w:rsid w:val="0EECE54C"/>
    <w:rsid w:val="0FF909DB"/>
    <w:rsid w:val="103D83BB"/>
    <w:rsid w:val="10754F69"/>
    <w:rsid w:val="108FA97C"/>
    <w:rsid w:val="114D801C"/>
    <w:rsid w:val="11CDBC27"/>
    <w:rsid w:val="1269AF25"/>
    <w:rsid w:val="128E1302"/>
    <w:rsid w:val="128E3E6D"/>
    <w:rsid w:val="1323997A"/>
    <w:rsid w:val="14057F86"/>
    <w:rsid w:val="147240BE"/>
    <w:rsid w:val="1498F603"/>
    <w:rsid w:val="14C02891"/>
    <w:rsid w:val="15055CE9"/>
    <w:rsid w:val="1506CCB5"/>
    <w:rsid w:val="16CB3E95"/>
    <w:rsid w:val="16CCD149"/>
    <w:rsid w:val="1770AC84"/>
    <w:rsid w:val="17829877"/>
    <w:rsid w:val="18217CB6"/>
    <w:rsid w:val="183E7037"/>
    <w:rsid w:val="18681BB6"/>
    <w:rsid w:val="189F589F"/>
    <w:rsid w:val="18BFC84C"/>
    <w:rsid w:val="19646F62"/>
    <w:rsid w:val="1A329E81"/>
    <w:rsid w:val="1A70C4FB"/>
    <w:rsid w:val="1B5C9958"/>
    <w:rsid w:val="1C9E28C8"/>
    <w:rsid w:val="1CADA2D7"/>
    <w:rsid w:val="1D961A15"/>
    <w:rsid w:val="1E7C5DC5"/>
    <w:rsid w:val="1F1C902B"/>
    <w:rsid w:val="1F386070"/>
    <w:rsid w:val="200AC8BE"/>
    <w:rsid w:val="209969CB"/>
    <w:rsid w:val="21A6991F"/>
    <w:rsid w:val="21B87F62"/>
    <w:rsid w:val="21C738A6"/>
    <w:rsid w:val="21DE6BC9"/>
    <w:rsid w:val="221822D0"/>
    <w:rsid w:val="22703853"/>
    <w:rsid w:val="22E14D3A"/>
    <w:rsid w:val="233B8474"/>
    <w:rsid w:val="2347DAA5"/>
    <w:rsid w:val="236DB8E5"/>
    <w:rsid w:val="2391EEA0"/>
    <w:rsid w:val="23C6D250"/>
    <w:rsid w:val="23C80140"/>
    <w:rsid w:val="242CEBCD"/>
    <w:rsid w:val="243E225F"/>
    <w:rsid w:val="249E6B1B"/>
    <w:rsid w:val="24B70753"/>
    <w:rsid w:val="24D791B5"/>
    <w:rsid w:val="24DE39E1"/>
    <w:rsid w:val="253FFA32"/>
    <w:rsid w:val="260BCE54"/>
    <w:rsid w:val="264C102F"/>
    <w:rsid w:val="2652D7B4"/>
    <w:rsid w:val="26DBCA93"/>
    <w:rsid w:val="2703A719"/>
    <w:rsid w:val="272CDD94"/>
    <w:rsid w:val="27EEA815"/>
    <w:rsid w:val="2815DAA3"/>
    <w:rsid w:val="28779AF4"/>
    <w:rsid w:val="29444909"/>
    <w:rsid w:val="29EFF5AF"/>
    <w:rsid w:val="2A093E00"/>
    <w:rsid w:val="2A203D8E"/>
    <w:rsid w:val="2A367041"/>
    <w:rsid w:val="2AE070BD"/>
    <w:rsid w:val="2B2648D7"/>
    <w:rsid w:val="2B429EB6"/>
    <w:rsid w:val="2B4D7B65"/>
    <w:rsid w:val="2B8396C0"/>
    <w:rsid w:val="2BAD5A5F"/>
    <w:rsid w:val="2BD240A2"/>
    <w:rsid w:val="2C117E4F"/>
    <w:rsid w:val="2DAD4EB0"/>
    <w:rsid w:val="2E377D4B"/>
    <w:rsid w:val="2E5681D9"/>
    <w:rsid w:val="2ED23987"/>
    <w:rsid w:val="2FFB3C68"/>
    <w:rsid w:val="308E8ADB"/>
    <w:rsid w:val="31286A17"/>
    <w:rsid w:val="31431E2F"/>
    <w:rsid w:val="31D4C0EE"/>
    <w:rsid w:val="322FEBC4"/>
    <w:rsid w:val="32D3705C"/>
    <w:rsid w:val="33ABD330"/>
    <w:rsid w:val="33B53A0F"/>
    <w:rsid w:val="33BB7A70"/>
    <w:rsid w:val="33D9126D"/>
    <w:rsid w:val="341D7BC5"/>
    <w:rsid w:val="343DF5F6"/>
    <w:rsid w:val="34EB44F9"/>
    <w:rsid w:val="3547A391"/>
    <w:rsid w:val="35B5912B"/>
    <w:rsid w:val="368B9D38"/>
    <w:rsid w:val="36D53EB1"/>
    <w:rsid w:val="36EA76D2"/>
    <w:rsid w:val="381E39EB"/>
    <w:rsid w:val="388BE3AF"/>
    <w:rsid w:val="389500FF"/>
    <w:rsid w:val="3895AC44"/>
    <w:rsid w:val="38998F99"/>
    <w:rsid w:val="394997B4"/>
    <w:rsid w:val="3953F122"/>
    <w:rsid w:val="398E250A"/>
    <w:rsid w:val="39BAC5B8"/>
    <w:rsid w:val="3AC1AD05"/>
    <w:rsid w:val="3B5CD85F"/>
    <w:rsid w:val="3BE5E2B4"/>
    <w:rsid w:val="3C11F75F"/>
    <w:rsid w:val="3CC5DCF2"/>
    <w:rsid w:val="3CFA65D3"/>
    <w:rsid w:val="3D4EF937"/>
    <w:rsid w:val="3D92B67B"/>
    <w:rsid w:val="3DD12946"/>
    <w:rsid w:val="3DD94B70"/>
    <w:rsid w:val="3E3EE3F9"/>
    <w:rsid w:val="3E894400"/>
    <w:rsid w:val="3F094E59"/>
    <w:rsid w:val="3F4D14D8"/>
    <w:rsid w:val="3F5FCA8B"/>
    <w:rsid w:val="403FAFB2"/>
    <w:rsid w:val="4053FC66"/>
    <w:rsid w:val="4156DF40"/>
    <w:rsid w:val="430A3203"/>
    <w:rsid w:val="4367F307"/>
    <w:rsid w:val="43757A42"/>
    <w:rsid w:val="43802B0B"/>
    <w:rsid w:val="4409B3AB"/>
    <w:rsid w:val="44BBCE5E"/>
    <w:rsid w:val="4503C368"/>
    <w:rsid w:val="453C4324"/>
    <w:rsid w:val="4549E163"/>
    <w:rsid w:val="45876F91"/>
    <w:rsid w:val="45F92401"/>
    <w:rsid w:val="463660A8"/>
    <w:rsid w:val="464EE4B7"/>
    <w:rsid w:val="46BE394F"/>
    <w:rsid w:val="4798F071"/>
    <w:rsid w:val="47A68BA6"/>
    <w:rsid w:val="483BF2DF"/>
    <w:rsid w:val="4844EF56"/>
    <w:rsid w:val="48572A4F"/>
    <w:rsid w:val="48EE227F"/>
    <w:rsid w:val="49E0BFB7"/>
    <w:rsid w:val="4A091FA3"/>
    <w:rsid w:val="4A2A7515"/>
    <w:rsid w:val="4A2B137B"/>
    <w:rsid w:val="4B163644"/>
    <w:rsid w:val="4BEE05F5"/>
    <w:rsid w:val="4C25C341"/>
    <w:rsid w:val="4C26C1D2"/>
    <w:rsid w:val="4C26FE04"/>
    <w:rsid w:val="4C523A1C"/>
    <w:rsid w:val="4D451B82"/>
    <w:rsid w:val="4D71F6D6"/>
    <w:rsid w:val="4D842299"/>
    <w:rsid w:val="4DE21112"/>
    <w:rsid w:val="4E845D6C"/>
    <w:rsid w:val="4EDC90C6"/>
    <w:rsid w:val="4FCCE54E"/>
    <w:rsid w:val="4FDD0CFE"/>
    <w:rsid w:val="4FDF4437"/>
    <w:rsid w:val="5181FD10"/>
    <w:rsid w:val="51E3D1C2"/>
    <w:rsid w:val="51F7493C"/>
    <w:rsid w:val="52A83A3D"/>
    <w:rsid w:val="52CBEB9C"/>
    <w:rsid w:val="52DA25B9"/>
    <w:rsid w:val="530A5352"/>
    <w:rsid w:val="53ABB1E6"/>
    <w:rsid w:val="53B6EDE7"/>
    <w:rsid w:val="54E78EB0"/>
    <w:rsid w:val="557D08BB"/>
    <w:rsid w:val="5592CC0F"/>
    <w:rsid w:val="55B9C30D"/>
    <w:rsid w:val="561591B5"/>
    <w:rsid w:val="5676C8B7"/>
    <w:rsid w:val="5718D91C"/>
    <w:rsid w:val="57A7B596"/>
    <w:rsid w:val="57CE7B09"/>
    <w:rsid w:val="5805B63B"/>
    <w:rsid w:val="58CBC752"/>
    <w:rsid w:val="58D84EA4"/>
    <w:rsid w:val="59471D00"/>
    <w:rsid w:val="5A460235"/>
    <w:rsid w:val="5A6AA2B9"/>
    <w:rsid w:val="5AC7F2EB"/>
    <w:rsid w:val="5B156DDD"/>
    <w:rsid w:val="5CE83C1D"/>
    <w:rsid w:val="5E7EB6AD"/>
    <w:rsid w:val="5F73F7F5"/>
    <w:rsid w:val="5F7B7553"/>
    <w:rsid w:val="60FEBEF5"/>
    <w:rsid w:val="61691F87"/>
    <w:rsid w:val="62E40257"/>
    <w:rsid w:val="631641C9"/>
    <w:rsid w:val="634C37C0"/>
    <w:rsid w:val="63C7190F"/>
    <w:rsid w:val="640D0A9D"/>
    <w:rsid w:val="646F63E6"/>
    <w:rsid w:val="64D0BF90"/>
    <w:rsid w:val="65377B2D"/>
    <w:rsid w:val="657C2956"/>
    <w:rsid w:val="65E24CCF"/>
    <w:rsid w:val="663C90AA"/>
    <w:rsid w:val="6672AB7C"/>
    <w:rsid w:val="66C699FB"/>
    <w:rsid w:val="67563599"/>
    <w:rsid w:val="676EE613"/>
    <w:rsid w:val="67B0011F"/>
    <w:rsid w:val="6841793F"/>
    <w:rsid w:val="68AB7771"/>
    <w:rsid w:val="6904B7B6"/>
    <w:rsid w:val="694BD180"/>
    <w:rsid w:val="69A01CFB"/>
    <w:rsid w:val="69FB7365"/>
    <w:rsid w:val="6A31EEE9"/>
    <w:rsid w:val="6AE6043B"/>
    <w:rsid w:val="6AF65BCB"/>
    <w:rsid w:val="6B8EC207"/>
    <w:rsid w:val="6C199DB6"/>
    <w:rsid w:val="6CDA6E81"/>
    <w:rsid w:val="6D626E89"/>
    <w:rsid w:val="6D632D3F"/>
    <w:rsid w:val="6E4F02AC"/>
    <w:rsid w:val="6E5F062E"/>
    <w:rsid w:val="6E66114A"/>
    <w:rsid w:val="6E7132E4"/>
    <w:rsid w:val="6EE5D543"/>
    <w:rsid w:val="6F573021"/>
    <w:rsid w:val="6FDAFF41"/>
    <w:rsid w:val="6FE948F0"/>
    <w:rsid w:val="7081A5A4"/>
    <w:rsid w:val="70C09461"/>
    <w:rsid w:val="71E99094"/>
    <w:rsid w:val="722E7AB6"/>
    <w:rsid w:val="7332E204"/>
    <w:rsid w:val="736604EE"/>
    <w:rsid w:val="73D26EC3"/>
    <w:rsid w:val="73D50D2B"/>
    <w:rsid w:val="73F9E330"/>
    <w:rsid w:val="74DA6173"/>
    <w:rsid w:val="753F54A7"/>
    <w:rsid w:val="7553FCE6"/>
    <w:rsid w:val="75C5D2D3"/>
    <w:rsid w:val="75ECBC24"/>
    <w:rsid w:val="761407FF"/>
    <w:rsid w:val="7700A119"/>
    <w:rsid w:val="7708E5A4"/>
    <w:rsid w:val="78E892D2"/>
    <w:rsid w:val="7969E2D0"/>
    <w:rsid w:val="79862A32"/>
    <w:rsid w:val="7A53E8C5"/>
    <w:rsid w:val="7AC02D47"/>
    <w:rsid w:val="7BF0E8EC"/>
    <w:rsid w:val="7D012CE7"/>
    <w:rsid w:val="7D694A77"/>
    <w:rsid w:val="7DF2896C"/>
    <w:rsid w:val="7E2827A5"/>
    <w:rsid w:val="7EF8E197"/>
    <w:rsid w:val="7FD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16E3"/>
  <w15:chartTrackingRefBased/>
  <w15:docId w15:val="{3BC33903-A4F8-4899-B50D-F2C243DD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468"/>
    <w:pPr>
      <w:spacing w:after="0"/>
    </w:pPr>
    <w:rPr>
      <w:rFonts w:ascii="Nunito" w:hAnsi="Nunito"/>
      <w:color w:val="000000" w:themeColor="text1"/>
    </w:rPr>
  </w:style>
  <w:style w:type="paragraph" w:styleId="Kop1">
    <w:name w:val="heading 1"/>
    <w:basedOn w:val="Standaard"/>
    <w:next w:val="Standaard"/>
    <w:link w:val="Kop1Char"/>
    <w:uiPriority w:val="9"/>
    <w:qFormat/>
    <w:rsid w:val="005F4D35"/>
    <w:pPr>
      <w:keepNext/>
      <w:keepLines/>
      <w:spacing w:before="240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35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4D35"/>
    <w:rPr>
      <w:rFonts w:ascii="Open Sans" w:eastAsiaTheme="majorEastAsia" w:hAnsi="Open Sans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2"/>
    <w:qFormat/>
    <w:rsid w:val="007D2468"/>
    <w:pPr>
      <w:spacing w:line="240" w:lineRule="auto"/>
      <w:contextualSpacing/>
    </w:pPr>
    <w:rPr>
      <w:rFonts w:ascii="Outfit" w:eastAsiaTheme="majorEastAsia" w:hAnsi="Outfit" w:cstheme="majorBidi"/>
      <w:b/>
      <w:color w:val="auto"/>
      <w:spacing w:val="-10"/>
      <w:kern w:val="28"/>
      <w:sz w:val="84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7D2468"/>
    <w:rPr>
      <w:rFonts w:ascii="Outfit" w:eastAsiaTheme="majorEastAsia" w:hAnsi="Outfit" w:cstheme="majorBidi"/>
      <w:b/>
      <w:spacing w:val="-10"/>
      <w:kern w:val="28"/>
      <w:sz w:val="84"/>
      <w:szCs w:val="56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7D2468"/>
    <w:pPr>
      <w:numPr>
        <w:ilvl w:val="1"/>
      </w:numPr>
      <w:spacing w:after="160"/>
    </w:pPr>
    <w:rPr>
      <w:rFonts w:ascii="Nunito Sans" w:eastAsiaTheme="minorEastAsia" w:hAnsi="Nunito Sans"/>
      <w:b/>
      <w:color w:val="3B8491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7D2468"/>
    <w:rPr>
      <w:rFonts w:ascii="Nunito Sans" w:eastAsiaTheme="minorEastAsia" w:hAnsi="Nunito Sans"/>
      <w:b/>
      <w:color w:val="3B8491"/>
      <w:spacing w:val="15"/>
      <w:sz w:val="28"/>
    </w:rPr>
  </w:style>
  <w:style w:type="paragraph" w:customStyle="1" w:styleId="LastingLegal">
    <w:name w:val="LastingLegal"/>
    <w:basedOn w:val="Kop1"/>
    <w:link w:val="LastingLegalChar"/>
    <w:qFormat/>
    <w:rsid w:val="00E53533"/>
    <w:rPr>
      <w:rFonts w:ascii="Outfit" w:hAnsi="Outfit"/>
      <w:color w:val="012C3E"/>
      <w:sz w:val="80"/>
    </w:rPr>
  </w:style>
  <w:style w:type="character" w:customStyle="1" w:styleId="LastingLegalChar">
    <w:name w:val="LastingLegal Char"/>
    <w:basedOn w:val="Kop1Char"/>
    <w:link w:val="LastingLegal"/>
    <w:rsid w:val="00E53533"/>
    <w:rPr>
      <w:rFonts w:ascii="Outfit" w:eastAsiaTheme="majorEastAsia" w:hAnsi="Outfit" w:cstheme="majorBidi"/>
      <w:b/>
      <w:color w:val="012C3E"/>
      <w:sz w:val="8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35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EB3D0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73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73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7314"/>
    <w:rPr>
      <w:rFonts w:ascii="Nunito" w:hAnsi="Nunito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73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7314"/>
    <w:rPr>
      <w:rFonts w:ascii="Nunito" w:hAnsi="Nunito"/>
      <w:b/>
      <w:bCs/>
      <w:color w:val="000000" w:themeColor="text1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7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m.nl/system/files/documents/leidraad-duurzaamheidsclaims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Jellien Roelofs</dc:creator>
  <cp:keywords/>
  <dc:description/>
  <cp:lastModifiedBy>Jellien Roelofs</cp:lastModifiedBy>
  <cp:revision>80</cp:revision>
  <dcterms:created xsi:type="dcterms:W3CDTF">2023-06-15T12:17:00Z</dcterms:created>
  <dcterms:modified xsi:type="dcterms:W3CDTF">2023-06-16T11:35:00Z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4cb49264-bd4f-402a-b54e-e6127ea33cc9</vt:lpwstr>
  </property>
</Properties>
</file>